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3" w:rsidRPr="007D77BE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7D77BE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МІНІСТЕРСТВО ВНУТРІШНІХ СПРАВ </w:t>
      </w:r>
      <w:r w:rsidRPr="007D77BE">
        <w:rPr>
          <w:rFonts w:ascii="Times New Roman" w:eastAsia="Times New Roman" w:hAnsi="Times New Roman" w:cs="Times New Roman"/>
          <w:smallCaps/>
          <w:position w:val="0"/>
          <w:sz w:val="28"/>
          <w:szCs w:val="28"/>
        </w:rPr>
        <w:t>УКРАЇНИ</w:t>
      </w:r>
    </w:p>
    <w:p w:rsidR="003329C6" w:rsidRPr="0086156C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line="240" w:lineRule="auto"/>
        <w:jc w:val="center"/>
        <w:rPr>
          <w:rFonts w:ascii="Times New Roman" w:eastAsia="Times New Roman" w:hAnsi="Times New Roman" w:cs="Times New Roman"/>
          <w:position w:val="0"/>
          <w:sz w:val="26"/>
          <w:szCs w:val="26"/>
        </w:rPr>
      </w:pPr>
      <w:r w:rsidRPr="0086156C">
        <w:rPr>
          <w:rFonts w:ascii="Times New Roman" w:eastAsia="Times New Roman" w:hAnsi="Times New Roman" w:cs="Times New Roman"/>
          <w:position w:val="0"/>
          <w:sz w:val="26"/>
          <w:szCs w:val="26"/>
        </w:rPr>
        <w:t>НАЦІОНАЛЬНА АКАДЕМІЯ ВНУТРІШНІХ СПРАВ</w:t>
      </w:r>
    </w:p>
    <w:p w:rsidR="00112E93" w:rsidRPr="007D77BE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6420"/>
        </w:tabs>
        <w:spacing w:line="240" w:lineRule="auto"/>
        <w:ind w:right="-1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ab/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ab/>
      </w: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:rsidR="00C666C0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  <w:t>ЗАСАДИ РОЗУМІННЯ</w:t>
      </w:r>
      <w:r w:rsidR="00112E93" w:rsidRPr="00164F69"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  <w:t xml:space="preserve"> </w:t>
      </w:r>
      <w:r w:rsidR="00DA7A29" w:rsidRPr="00164F69"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  <w:t xml:space="preserve">ГЕНДЕРУ </w:t>
      </w:r>
    </w:p>
    <w:p w:rsidR="003329C6" w:rsidRPr="00164F69" w:rsidRDefault="00DA7A29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  <w:t>ТА</w:t>
      </w:r>
      <w:r w:rsidR="00A871CF" w:rsidRPr="00164F69">
        <w:rPr>
          <w:rFonts w:ascii="Times New Roman" w:eastAsia="Times New Roman" w:hAnsi="Times New Roman" w:cs="Times New Roman"/>
          <w:b/>
          <w:position w:val="0"/>
          <w:sz w:val="32"/>
          <w:szCs w:val="32"/>
          <w:lang w:eastAsia="uk-UA"/>
        </w:rPr>
        <w:t xml:space="preserve"> ГЕНДЕРНОЇ РІВНОСТІ</w:t>
      </w: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position w:val="0"/>
          <w:sz w:val="28"/>
          <w:szCs w:val="28"/>
          <w:lang w:eastAsia="uk-UA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lang w:eastAsia="uk-UA"/>
        </w:rPr>
        <w:t xml:space="preserve">Лекція № 1 </w:t>
      </w: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Київ</w:t>
      </w:r>
    </w:p>
    <w:p w:rsidR="00DD43DB" w:rsidRPr="00164F69" w:rsidRDefault="00112E93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2020</w:t>
      </w: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  <w:highlight w:val="yellow"/>
        </w:rPr>
        <w:br w:type="column"/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lastRenderedPageBreak/>
        <w:t>УДК</w:t>
      </w:r>
      <w:r w:rsidR="00321EB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____________</w:t>
      </w: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       З</w:t>
      </w:r>
      <w:r w:rsidR="00321EB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___________</w:t>
      </w:r>
    </w:p>
    <w:p w:rsidR="00112E93" w:rsidRPr="00164F69" w:rsidRDefault="00112E93" w:rsidP="00F079D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10"/>
          <w:position w:val="0"/>
          <w:sz w:val="28"/>
          <w:szCs w:val="28"/>
        </w:rPr>
      </w:pPr>
    </w:p>
    <w:p w:rsidR="00112E93" w:rsidRPr="00164F69" w:rsidRDefault="00112E93" w:rsidP="00F079D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10"/>
          <w:position w:val="0"/>
          <w:sz w:val="28"/>
          <w:szCs w:val="28"/>
        </w:rPr>
      </w:pPr>
    </w:p>
    <w:p w:rsidR="00F079D9" w:rsidRPr="00164F69" w:rsidRDefault="00F079D9" w:rsidP="00F079D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jc w:val="center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bookmarkStart w:id="0" w:name="_Toc375295553"/>
      <w:bookmarkStart w:id="1" w:name="_Toc354995406"/>
      <w:bookmarkStart w:id="2" w:name="_Toc349720614"/>
      <w:bookmarkStart w:id="3" w:name="_Toc348807287"/>
      <w:bookmarkStart w:id="4" w:name="_Toc348698515"/>
      <w:bookmarkStart w:id="5" w:name="_Toc344656671"/>
      <w:bookmarkStart w:id="6" w:name="_Toc342299361"/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Авторський колектив:</w:t>
      </w:r>
      <w:bookmarkEnd w:id="0"/>
      <w:bookmarkEnd w:id="1"/>
      <w:bookmarkEnd w:id="2"/>
      <w:bookmarkEnd w:id="3"/>
      <w:bookmarkEnd w:id="4"/>
      <w:bookmarkEnd w:id="5"/>
      <w:bookmarkEnd w:id="6"/>
    </w:p>
    <w:p w:rsidR="00C666C0" w:rsidRPr="00164F69" w:rsidRDefault="00F079D9" w:rsidP="00C666C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Камінська Н.</w:t>
      </w:r>
      <w:r w:rsidR="00C666C0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В.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доктор юридичних наук, професор (Національна академія внутрішніх справ);</w:t>
      </w:r>
      <w:bookmarkStart w:id="7" w:name="_Toc375295554"/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</w:p>
    <w:p w:rsidR="00C666C0" w:rsidRPr="00164F69" w:rsidRDefault="00F079D9" w:rsidP="00C666C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Чернявський С.</w:t>
      </w:r>
      <w:r w:rsidR="00C666C0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С.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доктор юридичних наук, професор (Національна академія внутрішніх справ); </w:t>
      </w:r>
    </w:p>
    <w:p w:rsidR="00F079D9" w:rsidRPr="00164F69" w:rsidRDefault="00F079D9" w:rsidP="00C666C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Перунова </w:t>
      </w:r>
      <w:r w:rsidR="00C666C0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О. С.</w:t>
      </w:r>
      <w:r w:rsidR="00C666C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(Міністерство внутрішніх справ України)</w:t>
      </w:r>
    </w:p>
    <w:p w:rsidR="00F079D9" w:rsidRPr="00164F69" w:rsidRDefault="00F079D9" w:rsidP="00C666C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F079D9" w:rsidRPr="00164F69" w:rsidRDefault="00F079D9" w:rsidP="00F079D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jc w:val="center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Рецензенти:</w:t>
      </w:r>
      <w:bookmarkEnd w:id="7"/>
    </w:p>
    <w:p w:rsidR="00C557B5" w:rsidRPr="00164F69" w:rsidRDefault="00C557B5" w:rsidP="00C557B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Костицький М. В., </w:t>
      </w:r>
      <w:r w:rsidRPr="00164F69">
        <w:rPr>
          <w:rFonts w:ascii="Times New Roman" w:eastAsia="Times New Roman" w:hAnsi="Times New Roman" w:cs="Times New Roman"/>
          <w:sz w:val="28"/>
          <w:szCs w:val="28"/>
        </w:rPr>
        <w:t>доктор юридичних наук, професор, академік НАПрН України, член-кореспондент  НАПН України, професор кафедри філософії права та юридичної логіки Національної академії внутрішніх справ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64F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79D9" w:rsidRPr="00164F69" w:rsidRDefault="00F079D9" w:rsidP="00C666C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Левченко К.</w:t>
      </w:r>
      <w:r w:rsidR="00C666C0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Б.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доктор юридичних наук, професор</w:t>
      </w:r>
      <w:r w:rsidR="00C666C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Урядовий уповноважений з гендерних питань</w:t>
      </w:r>
    </w:p>
    <w:p w:rsidR="00112E93" w:rsidRPr="00164F69" w:rsidRDefault="00112E93" w:rsidP="00C666C0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spacing w:line="240" w:lineRule="auto"/>
        <w:ind w:firstLine="567"/>
        <w:rPr>
          <w:rFonts w:ascii="Times New Roman" w:hAnsi="Times New Roman" w:cs="Times New Roman"/>
          <w:i/>
          <w:position w:val="0"/>
          <w:sz w:val="28"/>
          <w:szCs w:val="28"/>
        </w:rPr>
      </w:pPr>
      <w:r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 xml:space="preserve">Рекомендовано до друку </w:t>
      </w:r>
      <w:r w:rsidR="00C666C0"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 xml:space="preserve">науково-методичною </w:t>
      </w:r>
      <w:r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 xml:space="preserve">радою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Національної</w:t>
      </w:r>
      <w:r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 xml:space="preserve"> академії внутрішніх справ від </w:t>
      </w:r>
      <w:r w:rsidR="00C666C0"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 xml:space="preserve">__ квітня </w:t>
      </w:r>
      <w:r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>2020 року (протокол № __)</w:t>
      </w: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hAnsi="Times New Roman" w:cs="Times New Roman"/>
          <w:i/>
          <w:iCs/>
          <w:position w:val="0"/>
          <w:sz w:val="28"/>
          <w:szCs w:val="28"/>
        </w:rPr>
        <w:t>Матеріали подано в авторській редакції</w:t>
      </w: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112E93" w:rsidP="00112E93">
      <w:pPr>
        <w:tabs>
          <w:tab w:val="left" w:pos="9498"/>
        </w:tabs>
        <w:spacing w:line="240" w:lineRule="auto"/>
        <w:ind w:firstLine="567"/>
        <w:rPr>
          <w:rFonts w:ascii="Times New Roman" w:hAnsi="Times New Roman" w:cs="Times New Roman"/>
          <w:position w:val="0"/>
          <w:sz w:val="28"/>
          <w:szCs w:val="28"/>
          <w:lang w:val="ru-RU"/>
        </w:rPr>
      </w:pPr>
    </w:p>
    <w:p w:rsidR="00112E93" w:rsidRPr="00164F69" w:rsidRDefault="00EA4C5B" w:rsidP="00EA4C5B">
      <w:pPr>
        <w:spacing w:line="240" w:lineRule="auto"/>
        <w:rPr>
          <w:rFonts w:ascii="Times New Roman" w:hAnsi="Times New Roman" w:cs="Times New Roman"/>
          <w:b/>
          <w:position w:val="0"/>
          <w:sz w:val="28"/>
          <w:szCs w:val="28"/>
        </w:rPr>
      </w:pPr>
      <w:r w:rsidRPr="00164F69">
        <w:rPr>
          <w:rFonts w:ascii="Times New Roman" w:hAnsi="Times New Roman" w:cs="Times New Roman"/>
          <w:b/>
          <w:position w:val="0"/>
          <w:sz w:val="28"/>
          <w:szCs w:val="28"/>
        </w:rPr>
        <w:tab/>
      </w:r>
      <w:r w:rsidRPr="00164F69">
        <w:rPr>
          <w:rFonts w:ascii="Times New Roman" w:hAnsi="Times New Roman" w:cs="Times New Roman"/>
          <w:b/>
          <w:position w:val="0"/>
          <w:sz w:val="28"/>
          <w:szCs w:val="28"/>
        </w:rPr>
        <w:tab/>
        <w:t>Камінська Н.</w:t>
      </w:r>
      <w:r w:rsidR="000E4912" w:rsidRPr="00164F69">
        <w:rPr>
          <w:rFonts w:ascii="Times New Roman" w:hAnsi="Times New Roman" w:cs="Times New Roman"/>
          <w:b/>
          <w:position w:val="0"/>
          <w:sz w:val="28"/>
          <w:szCs w:val="28"/>
        </w:rPr>
        <w:t> </w:t>
      </w:r>
      <w:r w:rsidRPr="00164F69">
        <w:rPr>
          <w:rFonts w:ascii="Times New Roman" w:hAnsi="Times New Roman" w:cs="Times New Roman"/>
          <w:b/>
          <w:position w:val="0"/>
          <w:sz w:val="28"/>
          <w:szCs w:val="28"/>
        </w:rPr>
        <w:t>В., Чернявський С.</w:t>
      </w:r>
      <w:r w:rsidR="000E4912" w:rsidRPr="00164F69">
        <w:rPr>
          <w:rFonts w:ascii="Times New Roman" w:hAnsi="Times New Roman" w:cs="Times New Roman"/>
          <w:b/>
          <w:position w:val="0"/>
          <w:sz w:val="28"/>
          <w:szCs w:val="28"/>
        </w:rPr>
        <w:t> </w:t>
      </w:r>
      <w:r w:rsidRPr="00164F69">
        <w:rPr>
          <w:rFonts w:ascii="Times New Roman" w:hAnsi="Times New Roman" w:cs="Times New Roman"/>
          <w:b/>
          <w:position w:val="0"/>
          <w:sz w:val="28"/>
          <w:szCs w:val="28"/>
        </w:rPr>
        <w:t>С., Перунова О.</w:t>
      </w:r>
      <w:r w:rsidR="000E4912" w:rsidRPr="00164F69">
        <w:rPr>
          <w:rFonts w:ascii="Times New Roman" w:hAnsi="Times New Roman" w:cs="Times New Roman"/>
          <w:b/>
          <w:position w:val="0"/>
          <w:sz w:val="28"/>
          <w:szCs w:val="28"/>
        </w:rPr>
        <w:t> </w:t>
      </w:r>
      <w:r w:rsidRPr="00164F69">
        <w:rPr>
          <w:rFonts w:ascii="Times New Roman" w:hAnsi="Times New Roman" w:cs="Times New Roman"/>
          <w:b/>
          <w:position w:val="0"/>
          <w:sz w:val="28"/>
          <w:szCs w:val="28"/>
        </w:rPr>
        <w:t>С.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94"/>
        <w:gridCol w:w="8953"/>
      </w:tblGrid>
      <w:tr w:rsidR="00112E93" w:rsidRPr="00164F69" w:rsidTr="003C1396">
        <w:tc>
          <w:tcPr>
            <w:tcW w:w="794" w:type="dxa"/>
          </w:tcPr>
          <w:p w:rsidR="00112E93" w:rsidRPr="00164F69" w:rsidRDefault="00112E93" w:rsidP="00112E93">
            <w:p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position w:val="0"/>
                <w:sz w:val="28"/>
                <w:szCs w:val="28"/>
              </w:rPr>
            </w:pPr>
          </w:p>
          <w:p w:rsidR="00112E93" w:rsidRPr="00164F69" w:rsidRDefault="00112E93" w:rsidP="00C666C0">
            <w:p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hAnsi="Times New Roman" w:cs="Times New Roman"/>
                <w:position w:val="0"/>
                <w:sz w:val="28"/>
                <w:szCs w:val="28"/>
                <w:lang w:val="ru-RU"/>
              </w:rPr>
              <w:t>З</w:t>
            </w:r>
            <w:r w:rsidR="00C666C0" w:rsidRPr="00164F69">
              <w:rPr>
                <w:rFonts w:ascii="Times New Roman" w:hAnsi="Times New Roman" w:cs="Times New Roman"/>
                <w:position w:val="0"/>
                <w:sz w:val="28"/>
                <w:szCs w:val="28"/>
                <w:lang w:val="ru-RU"/>
              </w:rPr>
              <w:t>___</w:t>
            </w:r>
          </w:p>
        </w:tc>
        <w:tc>
          <w:tcPr>
            <w:tcW w:w="8953" w:type="dxa"/>
          </w:tcPr>
          <w:p w:rsidR="00EA4C5B" w:rsidRPr="00164F69" w:rsidRDefault="00EA4C5B" w:rsidP="0011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40" w:lineRule="auto"/>
              <w:ind w:firstLine="482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position w:val="0"/>
                <w:sz w:val="28"/>
                <w:szCs w:val="28"/>
              </w:rPr>
              <w:t xml:space="preserve">      </w:t>
            </w:r>
            <w:r w:rsidR="00112E93" w:rsidRPr="00164F69">
              <w:rPr>
                <w:rFonts w:ascii="Times New Roman" w:eastAsia="Times New Roman" w:hAnsi="Times New Roman" w:cs="Times New Roman"/>
                <w:b/>
                <w:position w:val="0"/>
                <w:sz w:val="28"/>
                <w:szCs w:val="28"/>
              </w:rPr>
              <w:t>Засади</w:t>
            </w:r>
            <w:r w:rsidR="00112E93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розуміння гендеру та гендерної рівності [Текст] : </w:t>
            </w:r>
          </w:p>
          <w:p w:rsidR="00112E93" w:rsidRPr="00164F69" w:rsidRDefault="00112E93" w:rsidP="0011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line="240" w:lineRule="auto"/>
              <w:ind w:firstLine="482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лекція. </w:t>
            </w:r>
            <w:r w:rsidR="00EA4C5B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Київ : Нац. акад. внутр. справ, 2020. </w:t>
            </w:r>
            <w:r w:rsidR="00483F79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20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с.</w:t>
            </w:r>
          </w:p>
          <w:p w:rsidR="00112E93" w:rsidRPr="00164F69" w:rsidRDefault="00112E93" w:rsidP="00112E93">
            <w:pPr>
              <w:tabs>
                <w:tab w:val="left" w:pos="9498"/>
              </w:tabs>
              <w:spacing w:line="240" w:lineRule="auto"/>
              <w:ind w:firstLine="482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</w:p>
        </w:tc>
      </w:tr>
    </w:tbl>
    <w:p w:rsidR="000E4912" w:rsidRPr="00164F69" w:rsidRDefault="000E4912" w:rsidP="000E4912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Chars="369" w:left="812" w:firstLine="464"/>
        <w:rPr>
          <w:rFonts w:ascii="Times New Roman" w:eastAsia="Times New Roman" w:hAnsi="Times New Roman" w:cs="Times New Roman"/>
          <w:sz w:val="24"/>
          <w:szCs w:val="24"/>
        </w:rPr>
      </w:pPr>
      <w:r w:rsidRPr="00164F69">
        <w:rPr>
          <w:rFonts w:ascii="Times New Roman" w:eastAsia="Times New Roman" w:hAnsi="Times New Roman" w:cs="Times New Roman"/>
          <w:sz w:val="24"/>
          <w:szCs w:val="24"/>
        </w:rPr>
        <w:t xml:space="preserve">   У лекції 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 xml:space="preserve">розкрито </w:t>
      </w:r>
      <w:hyperlink w:anchor="_Toc37071297" w:history="1">
        <w:r w:rsidRPr="00164F69">
          <w:rPr>
            <w:rFonts w:ascii="Times New Roman" w:eastAsia="Times New Roman" w:hAnsi="Times New Roman" w:cs="Times New Roman"/>
            <w:sz w:val="24"/>
            <w:szCs w:val="24"/>
          </w:rPr>
          <w:t xml:space="preserve">підходи до розуміння гендерної термінології («гендер», «гендерна рівність», «гендерні стереотипи», «гендерний мейнстрімінг» тощо), </w:t>
        </w:r>
      </w:hyperlink>
      <w:r w:rsidRPr="00164F69">
        <w:rPr>
          <w:rFonts w:ascii="Times New Roman" w:eastAsia="Times New Roman" w:hAnsi="Times New Roman" w:cs="Times New Roman"/>
          <w:sz w:val="24"/>
          <w:szCs w:val="24"/>
        </w:rPr>
        <w:t>проаналізовано п</w:t>
      </w:r>
      <w:hyperlink w:anchor="_Toc37071298" w:history="1">
        <w:r w:rsidRPr="00164F69">
          <w:rPr>
            <w:rFonts w:ascii="Times New Roman" w:eastAsia="Times New Roman" w:hAnsi="Times New Roman" w:cs="Times New Roman"/>
            <w:sz w:val="24"/>
            <w:szCs w:val="24"/>
          </w:rPr>
          <w:t>ричини виникнення гендерної нерівності</w:t>
        </w:r>
        <w:r w:rsidR="00D022D7" w:rsidRPr="00164F69">
          <w:rPr>
            <w:rFonts w:ascii="Times New Roman" w:eastAsia="Times New Roman" w:hAnsi="Times New Roman" w:cs="Times New Roman"/>
            <w:sz w:val="24"/>
            <w:szCs w:val="24"/>
          </w:rPr>
          <w:t xml:space="preserve"> у контексті </w:t>
        </w:r>
      </w:hyperlink>
      <w:hyperlink w:anchor="_Toc37071299" w:history="1">
        <w:r w:rsidRPr="00164F69">
          <w:rPr>
            <w:rFonts w:ascii="Times New Roman" w:eastAsia="Times New Roman" w:hAnsi="Times New Roman" w:cs="Times New Roman"/>
            <w:sz w:val="24"/>
            <w:szCs w:val="24"/>
          </w:rPr>
          <w:t>співвідношен</w:t>
        </w:r>
        <w:r w:rsidR="00D022D7" w:rsidRPr="00164F69">
          <w:rPr>
            <w:rFonts w:ascii="Times New Roman" w:eastAsia="Times New Roman" w:hAnsi="Times New Roman" w:cs="Times New Roman"/>
            <w:sz w:val="24"/>
            <w:szCs w:val="24"/>
          </w:rPr>
          <w:softHyphen/>
        </w:r>
        <w:r w:rsidRPr="00164F69">
          <w:rPr>
            <w:rFonts w:ascii="Times New Roman" w:eastAsia="Times New Roman" w:hAnsi="Times New Roman" w:cs="Times New Roman"/>
            <w:sz w:val="24"/>
            <w:szCs w:val="24"/>
          </w:rPr>
          <w:t>ня паритетної демократії та гендерної рівності</w:t>
        </w:r>
      </w:hyperlink>
      <w:r w:rsidRPr="00164F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 xml:space="preserve">Оцінено </w:t>
      </w:r>
      <w:r w:rsidRPr="00164F69">
        <w:rPr>
          <w:rFonts w:ascii="Times New Roman" w:eastAsia="Times New Roman" w:hAnsi="Times New Roman" w:cs="Times New Roman"/>
          <w:sz w:val="24"/>
          <w:szCs w:val="24"/>
        </w:rPr>
        <w:t xml:space="preserve">положення законів України «Про забезпечення рівних прав та можливостей жінок і чоловіків», «Про засади запобігання та протидії дискримінації в Україні», 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 xml:space="preserve">які </w:t>
      </w:r>
      <w:r w:rsidRPr="00164F69">
        <w:rPr>
          <w:rFonts w:ascii="Times New Roman" w:eastAsia="Times New Roman" w:hAnsi="Times New Roman" w:cs="Times New Roman"/>
          <w:sz w:val="24"/>
          <w:szCs w:val="24"/>
        </w:rPr>
        <w:t xml:space="preserve">містять визначення дискримінації за ознакою статі. 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 xml:space="preserve">Наголошено на важливості </w:t>
      </w:r>
      <w:r w:rsidRPr="00164F69">
        <w:rPr>
          <w:rFonts w:ascii="Times New Roman" w:eastAsia="Times New Roman" w:hAnsi="Times New Roman" w:cs="Times New Roman"/>
          <w:sz w:val="24"/>
          <w:szCs w:val="24"/>
        </w:rPr>
        <w:t>точн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64F69">
        <w:rPr>
          <w:rFonts w:ascii="Times New Roman" w:eastAsia="Times New Roman" w:hAnsi="Times New Roman" w:cs="Times New Roman"/>
          <w:sz w:val="24"/>
          <w:szCs w:val="24"/>
        </w:rPr>
        <w:t>розумінн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4F69">
        <w:rPr>
          <w:rFonts w:ascii="Times New Roman" w:eastAsia="Times New Roman" w:hAnsi="Times New Roman" w:cs="Times New Roman"/>
          <w:sz w:val="24"/>
          <w:szCs w:val="24"/>
        </w:rPr>
        <w:t>, профілакти</w:t>
      </w:r>
      <w:r w:rsidR="00D022D7" w:rsidRPr="00164F69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164F69">
        <w:rPr>
          <w:rFonts w:ascii="Times New Roman" w:eastAsia="Times New Roman" w:hAnsi="Times New Roman" w:cs="Times New Roman"/>
          <w:sz w:val="24"/>
          <w:szCs w:val="24"/>
        </w:rPr>
        <w:t xml:space="preserve">й подолання таких негативних соціальних явищ за спільної участі вчених, законотворців, працівників правоохоронних та інституцій громадянського суспільства. </w:t>
      </w:r>
    </w:p>
    <w:p w:rsidR="000E4912" w:rsidRPr="00164F69" w:rsidRDefault="000E4912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ind w:firstLine="567"/>
        <w:jc w:val="right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9498"/>
        </w:tabs>
        <w:ind w:firstLine="567"/>
        <w:jc w:val="right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УДК</w:t>
      </w:r>
      <w:r w:rsidR="000260C5"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___</w:t>
      </w: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9498"/>
        </w:tabs>
        <w:ind w:firstLine="567"/>
        <w:jc w:val="right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4"/>
          <w:szCs w:val="24"/>
          <w:lang w:val="ru-RU"/>
        </w:rPr>
        <w:t xml:space="preserve">                 </w:t>
      </w:r>
      <w:r w:rsidRPr="00164F69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© </w:t>
      </w:r>
      <w:r w:rsidRPr="00164F69">
        <w:rPr>
          <w:rFonts w:ascii="Times New Roman" w:eastAsia="Times New Roman" w:hAnsi="Times New Roman" w:cs="Times New Roman"/>
          <w:position w:val="0"/>
          <w:sz w:val="24"/>
          <w:szCs w:val="24"/>
        </w:rPr>
        <w:t>Національна академія внутрішніх справ, 2020</w:t>
      </w:r>
    </w:p>
    <w:p w:rsidR="00112E93" w:rsidRPr="00164F69" w:rsidRDefault="00112E93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9498"/>
        </w:tabs>
        <w:ind w:firstLine="567"/>
        <w:jc w:val="right"/>
        <w:rPr>
          <w:rFonts w:ascii="Times New Roman" w:eastAsia="Times New Roman" w:hAnsi="Times New Roman" w:cs="Times New Roman"/>
          <w:position w:val="0"/>
          <w:sz w:val="24"/>
          <w:szCs w:val="24"/>
        </w:rPr>
        <w:sectPr w:rsidR="00112E93" w:rsidRPr="00164F69" w:rsidSect="00F24E3C">
          <w:footerReference w:type="default" r:id="rId9"/>
          <w:footerReference w:type="first" r:id="rId10"/>
          <w:pgSz w:w="11906" w:h="16838"/>
          <w:pgMar w:top="1134" w:right="707" w:bottom="1134" w:left="1701" w:header="709" w:footer="709" w:gutter="0"/>
          <w:pgNumType w:start="2"/>
          <w:cols w:space="720" w:equalWidth="0">
            <w:col w:w="9498"/>
          </w:cols>
          <w:titlePg/>
        </w:sectPr>
      </w:pPr>
    </w:p>
    <w:p w:rsidR="00112E93" w:rsidRPr="00164F69" w:rsidRDefault="00112E93" w:rsidP="00DD43DB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lastRenderedPageBreak/>
        <w:t>ЗМІСТ</w:t>
      </w:r>
    </w:p>
    <w:p w:rsidR="00483F79" w:rsidRPr="00164F69" w:rsidRDefault="00483F79" w:rsidP="00DD43DB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483F79" w:rsidRPr="00164F69" w:rsidRDefault="007C3B47" w:rsidP="00483F79">
      <w:pPr>
        <w:pStyle w:val="10"/>
        <w:rPr>
          <w:rFonts w:ascii="Times New Roman" w:hAnsi="Times New Roman" w:cs="Times New Roman"/>
          <w:noProof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fldChar w:fldCharType="begin"/>
      </w:r>
      <w:r w:rsidR="00483F7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instrText xml:space="preserve"> TOC \h \z \t "ВСТУП;1;ПУНКТ;2" </w:instrTex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fldChar w:fldCharType="separate"/>
      </w:r>
      <w:hyperlink w:anchor="_Toc37071296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>ВСТУП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_Toc37071296 \h </w:instrText>
        </w:r>
        <w:r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3F79" w:rsidRPr="00164F69" w:rsidRDefault="009564BB" w:rsidP="00483F79">
      <w:pPr>
        <w:pStyle w:val="20"/>
        <w:rPr>
          <w:rFonts w:ascii="Times New Roman" w:hAnsi="Times New Roman" w:cs="Times New Roman"/>
          <w:noProof/>
          <w:sz w:val="28"/>
          <w:szCs w:val="28"/>
        </w:rPr>
      </w:pPr>
      <w:hyperlink w:anchor="_Toc37071297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1. Основні підходи до розуміння гендерної термінології </w:t>
        </w:r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br/>
          <w:t xml:space="preserve">(«гендер», «гендерна рівність», «гендерні стереотипи», </w:t>
        </w:r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br/>
          <w:t>«гендерний мейнстрімінг» тощо)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_Toc37071297 \h </w:instrTex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3F79" w:rsidRPr="00164F69" w:rsidRDefault="009564BB" w:rsidP="00483F79">
      <w:pPr>
        <w:pStyle w:val="20"/>
        <w:rPr>
          <w:rFonts w:ascii="Times New Roman" w:hAnsi="Times New Roman" w:cs="Times New Roman"/>
          <w:noProof/>
          <w:sz w:val="28"/>
          <w:szCs w:val="28"/>
        </w:rPr>
      </w:pPr>
      <w:hyperlink w:anchor="_Toc37071298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>2. Причини виникнення гендерної нерівності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_Toc37071298 \h </w:instrTex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3F79" w:rsidRPr="00164F69" w:rsidRDefault="009564BB" w:rsidP="00483F79">
      <w:pPr>
        <w:pStyle w:val="20"/>
        <w:rPr>
          <w:rFonts w:ascii="Times New Roman" w:hAnsi="Times New Roman" w:cs="Times New Roman"/>
          <w:noProof/>
          <w:sz w:val="28"/>
          <w:szCs w:val="28"/>
        </w:rPr>
      </w:pPr>
      <w:hyperlink w:anchor="_Toc37071299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3. Співвідношення паритетної демократії </w:t>
        </w:r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br/>
          <w:t>та гендерної рівності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_Toc37071299 \h </w:instrTex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3F79" w:rsidRPr="00164F69" w:rsidRDefault="009564BB" w:rsidP="00483F79">
      <w:pPr>
        <w:pStyle w:val="20"/>
        <w:rPr>
          <w:rFonts w:ascii="Times New Roman" w:hAnsi="Times New Roman" w:cs="Times New Roman"/>
          <w:noProof/>
          <w:sz w:val="28"/>
          <w:szCs w:val="28"/>
        </w:rPr>
      </w:pPr>
      <w:hyperlink w:anchor="_Toc37071300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4. Поняття та види дискримінації, сексизм </w:t>
        </w:r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br/>
          <w:t>та позитивні дії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_Toc37071300 \h </w:instrTex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3F79" w:rsidRPr="00164F69" w:rsidRDefault="009564BB" w:rsidP="00483F79">
      <w:pPr>
        <w:pStyle w:val="10"/>
        <w:rPr>
          <w:rFonts w:ascii="Times New Roman" w:hAnsi="Times New Roman" w:cs="Times New Roman"/>
          <w:noProof/>
          <w:sz w:val="28"/>
          <w:szCs w:val="28"/>
        </w:rPr>
      </w:pPr>
      <w:hyperlink w:anchor="_Toc37071301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>ВИСНОВКИ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_Toc37071301 \h </w:instrTex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83F79" w:rsidRPr="00164F69" w:rsidRDefault="009564BB" w:rsidP="00483F79">
      <w:pPr>
        <w:pStyle w:val="10"/>
        <w:rPr>
          <w:rFonts w:ascii="Times New Roman" w:hAnsi="Times New Roman" w:cs="Times New Roman"/>
          <w:noProof/>
          <w:sz w:val="28"/>
          <w:szCs w:val="28"/>
        </w:rPr>
      </w:pPr>
      <w:hyperlink w:anchor="_Toc37071302" w:history="1">
        <w:r w:rsidR="00483F79" w:rsidRPr="00164F69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</w:rPr>
          <w:t>СПИСОК ВИКОРИСТАНИХ ДЖЕРЕЛ</w:t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83F79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_Toc37071302 \h </w:instrTex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26081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7C3B47" w:rsidRPr="00164F6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329C6" w:rsidRPr="00164F69" w:rsidRDefault="007C3B47" w:rsidP="00483F7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fldChar w:fldCharType="end"/>
      </w: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20605F" w:rsidRPr="00164F69" w:rsidRDefault="0020605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20605F" w:rsidRPr="00164F69" w:rsidRDefault="0020605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20605F" w:rsidRPr="00164F69" w:rsidRDefault="0020605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DD43DB">
      <w:pPr>
        <w:pStyle w:val="af8"/>
        <w:tabs>
          <w:tab w:val="left" w:pos="6329"/>
        </w:tabs>
        <w:jc w:val="left"/>
        <w:rPr>
          <w:rFonts w:eastAsia="Times New Roman"/>
          <w:b w:val="0"/>
          <w:color w:val="auto"/>
        </w:rPr>
      </w:pPr>
      <w:r w:rsidRPr="00164F69">
        <w:rPr>
          <w:rFonts w:eastAsia="Times New Roman"/>
          <w:b w:val="0"/>
          <w:color w:val="auto"/>
        </w:rPr>
        <w:tab/>
      </w:r>
    </w:p>
    <w:p w:rsidR="003329C6" w:rsidRPr="00164F69" w:rsidRDefault="00112E93" w:rsidP="00112E93">
      <w:pPr>
        <w:pStyle w:val="af8"/>
        <w:rPr>
          <w:color w:val="auto"/>
        </w:rPr>
      </w:pPr>
      <w:r w:rsidRPr="00164F69">
        <w:rPr>
          <w:color w:val="auto"/>
        </w:rPr>
        <w:br w:type="column"/>
      </w:r>
      <w:bookmarkStart w:id="8" w:name="_Toc37071296"/>
      <w:r w:rsidRPr="00164F69">
        <w:rPr>
          <w:color w:val="auto"/>
        </w:rPr>
        <w:lastRenderedPageBreak/>
        <w:t>ВСТУП</w:t>
      </w:r>
      <w:bookmarkEnd w:id="8"/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Гендерна рівність є одним </w:t>
      </w:r>
      <w:r w:rsidR="00DA7A2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принципів забезпечення прав людини, основою демократичного розвитку держав </w:t>
      </w:r>
      <w:r w:rsidR="00DA7A2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 </w:t>
      </w:r>
      <w:r w:rsidR="007051C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світової спільноти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. Процеси глобалізації та інтеграції супроводжуються розширенням можливостей жінок і чоловіків, подоланням проявів професійної дискримінації, гендерної сегрегації праці, нерівної оплати праці, гендерно зумовленого насильства тощо. Вони не оминають сфери публічної служби, освіти </w:t>
      </w:r>
      <w:r w:rsidR="00DA7A2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науки, сектор</w:t>
      </w:r>
      <w:r w:rsidR="009C1C3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безпеки </w:t>
      </w:r>
      <w:r w:rsidR="00DA7A2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оборони тощо. </w:t>
      </w:r>
    </w:p>
    <w:p w:rsidR="003329C6" w:rsidRPr="00164F69" w:rsidRDefault="000260C5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Відчутним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прояв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ом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соціальної диференціації населення, що 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має наслідком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різні можливості самореалізації жінок і чоловіків </w:t>
      </w:r>
      <w:r w:rsidR="00DA7A2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суспільстві, є гендерна нерівність. </w:t>
      </w:r>
      <w:r w:rsidR="00DA7A2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деться не лише про рівність юридичних прав жінок і чоловіків, а й рівність умов і можливостей реалізації цих прав.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Погляди на роль чоловіка 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жінки 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суспільстві формуються в процесі соціалізації індивіда під впливом сім’ї, школи, засобів масової інформації, соціального оточення, а також політичних 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державних структур.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У період соціальних трансформацій 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проблема гендерної ідентифікації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стає дедалі актуальн</w:t>
      </w:r>
      <w:r w:rsidR="009C1C3F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іш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ою.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Змін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ення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традиційних уявлень і стереотипів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має 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полягати 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переосмисленні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усталених ролей чоловіка 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й 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жінки, усвідомленні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того, що не існує </w:t>
      </w:r>
      <w:r w:rsidR="009C1C3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суто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чоловічих і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жіночих </w:t>
      </w:r>
      <w:r w:rsidR="009C1C3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особлив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остей.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сім особистостям притаманні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сила та слабкість, самостійність і залеж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ність, активність та пасивність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–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залежно від певних умов 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і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ситуацій.</w:t>
      </w:r>
    </w:p>
    <w:p w:rsidR="003329C6" w:rsidRPr="00164F69" w:rsidRDefault="00A871CF" w:rsidP="00EA7CAB">
      <w:pPr>
        <w:pStyle w:val="afa"/>
        <w:rPr>
          <w:color w:val="auto"/>
        </w:rPr>
      </w:pPr>
      <w:r w:rsidRPr="00164F69">
        <w:rPr>
          <w:color w:val="auto"/>
        </w:rPr>
        <w:br w:type="page"/>
      </w:r>
      <w:bookmarkStart w:id="9" w:name="_Toc37071297"/>
      <w:r w:rsidRPr="00164F69">
        <w:rPr>
          <w:color w:val="auto"/>
        </w:rPr>
        <w:lastRenderedPageBreak/>
        <w:t>1. Основні підходи до розуміння гендерної термінології («гендер», «гендерна рівність», «гендерні стереотипи», «гендерний мейнстрімінг» тощо)</w:t>
      </w:r>
      <w:bookmarkEnd w:id="9"/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З’ясування історії понять «гендер», «гендерна рівність» дає змогу показати їх нерозривний зв’язок </w:t>
      </w:r>
      <w:r w:rsidR="00993F3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 прогресивними тенденціями сучасного розвитку людства, якісно новий рівень суспільного розвитку, який розпочинається зі зникненням біполярного світового порядку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зумовлює потребу 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якнайповнішого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залучення до прийняття рішень </w:t>
      </w:r>
      <w:r w:rsidR="005D0C6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якомога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ширших суспільних груп.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Стать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пов’язують з будовою статевих органів, репродуктивною системою, хромосомним набором, тобто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стать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є анатомо-біологічною відмінністю, </w:t>
      </w:r>
      <w:r w:rsidR="005D0C68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за </w:t>
      </w:r>
      <w:r w:rsidR="00270CF2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як</w:t>
      </w:r>
      <w:r w:rsidR="003C3089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ою</w:t>
      </w:r>
      <w:r w:rsidR="00270CF2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</w:t>
      </w:r>
      <w:r w:rsidR="006E77CB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людей визначають як чоловіка або жінку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Якщо біологічна стать дається людині від народження, то гендер конструюється соціально та зумовл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ений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культурою суспільства в конкретний історичний період. Гендер – це соціальна стать, що формує поведінкові, культурні, психологічні, візуальні та інші соціально-культурно зумовлені відмінності між чоловіками та жінками.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 повсякденному житті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ми 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зазвичай ідентифікуємо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чоловіків або жінок за зовнішніми рисами: довжина волосся, будова тіла, голос, фасон </w:t>
      </w:r>
      <w:r w:rsidR="00AE0BF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 </w:t>
      </w:r>
      <w:r w:rsidR="00270CF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колір одягу, манер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 поведінки тощо, тобто ми визнача</w:t>
      </w:r>
      <w:r w:rsidR="00AE0BF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ємо стать особи за її соціальними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ознаками та проявами.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Для суспільства жінка-поліц</w:t>
      </w:r>
      <w:r w:rsidR="00334B9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ейський</w:t>
      </w:r>
      <w:r w:rsidR="007D42C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жінка-водолаз, чоловік-вихователь у дитячому садочку або чоловік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7D42C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довгим кольоровим волоссям чи у яскравому одязі вже не є соціальним феноменом, </w:t>
      </w:r>
      <w:r w:rsidR="007D42C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проте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досі суспільство гостро реагує на такий вибір людей,</w:t>
      </w:r>
      <w:r w:rsidR="007051C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оскільки вони не відповідають тим соціальним ознакам та очікуванням, які </w:t>
      </w:r>
      <w:r w:rsidR="005C337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протягом тривалого часу були притаманні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лише чоловікам або лише жінкам. Саме 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 соціальні ролі та характерні ознаки, як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их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очікують від жінок та чоловіків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і є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гендером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.</w:t>
      </w:r>
    </w:p>
    <w:p w:rsidR="003329C6" w:rsidRPr="00164F69" w:rsidRDefault="007D42CE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У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науковій площині є багато дефініцій термін</w:t>
      </w:r>
      <w:r w:rsidR="003C308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а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«гендер», що зумовлено міждисциплінарним характером гендерних досліджень, проте </w:t>
      </w:r>
      <w:r w:rsidR="003C308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в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більшості з них </w:t>
      </w:r>
      <w:r w:rsidR="003C308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акцентовано 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на соціальній природі 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зазначеної 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категорії. </w:t>
      </w:r>
      <w:r w:rsidR="006E77CB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Ось 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декілька з них:    </w:t>
      </w:r>
    </w:p>
    <w:p w:rsidR="003329C6" w:rsidRPr="00164F69" w:rsidRDefault="00A871CF" w:rsidP="00EA7CAB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гендер – це «соціокультурна, символічна конструкція </w:t>
      </w:r>
      <w:r w:rsidR="007051C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ті, що покликана визначати конкретний асоціативний зв’язок, забезпечувати повноцінну комунікацію та підтримувати соціальний порядок»;</w:t>
      </w:r>
    </w:p>
    <w:p w:rsidR="003329C6" w:rsidRPr="00164F69" w:rsidRDefault="00A871CF" w:rsidP="00EA7CAB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гендер – це «комплекс соціокультурних характеристик, що охоплює всі сфери діяльності людини; самостійна, не зумовлена біологічною статтю, конструйована культурою та суспільством характеристика людини, щось, чого люди не мають як даність, а (осмислено чи неосмислено) показують/транслюють/демонструють, взаємодіючи з різними людьми у різноманітних інституціональних ситуаціях» тощо.</w:t>
      </w:r>
    </w:p>
    <w:p w:rsidR="003329C6" w:rsidRPr="00164F69" w:rsidRDefault="007D42CE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Але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наразі ми маємо </w:t>
      </w:r>
      <w:r w:rsidR="006E77C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міжнародне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законодавче закріплення термін</w:t>
      </w:r>
      <w:r w:rsidR="003C308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«гендер» у статті 3 Конвенції Ради Європи про запобігання насильству стосовно жінок і домашньому насильству та боротьбу з цими явищами, де </w:t>
      </w:r>
      <w:r w:rsidR="00A871CF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lastRenderedPageBreak/>
        <w:t xml:space="preserve">гендер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означає</w:t>
      </w:r>
      <w:r w:rsidR="00A871CF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соціально закріплені ролі, поведінку, діяльність і характерні ознаки, які певне суспільство вважає належними для жінок та чоловіків.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Гендер </w:t>
      </w:r>
      <w:r w:rsidR="00071A5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стає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найефективнішим засобом, аби перемістити жінок з узбіччя історії до її центру, тим самим змінюючи підхід до написання їхньої подальшої історії.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Джоан Скотт називає це зверненням «теологів фемінізму» до гендеру як способу переосмислення детермінантів чоловічо-жіночих</w:t>
      </w:r>
      <w:r w:rsidR="00071A5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взаємин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. Вона зазначає, що «вперше масово поняття «гендер» стали вживати американські феміністки, які наполягали на докорінній соціальній рівності відмінностей, що визначаються «статтю». 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В Україні термін </w:t>
      </w:r>
      <w:r w:rsidRPr="00164F69">
        <w:rPr>
          <w:rFonts w:ascii="Times New Roman" w:eastAsia="Times New Roman" w:hAnsi="Times New Roman" w:cs="Times New Roman"/>
          <w:b/>
          <w:i/>
          <w:spacing w:val="-4"/>
          <w:position w:val="0"/>
          <w:sz w:val="28"/>
          <w:szCs w:val="28"/>
        </w:rPr>
        <w:t>«гендер»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використов</w:t>
      </w:r>
      <w:r w:rsidR="00071A54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ують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, проте в законодавстві на</w:t>
      </w:r>
      <w:r w:rsidR="00071A54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разі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</w:t>
      </w:r>
      <w:r w:rsidR="00071A54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він 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відсутній. На жаль, інколи поняття </w:t>
      </w:r>
      <w:r w:rsidRPr="00164F69">
        <w:rPr>
          <w:rFonts w:ascii="Times New Roman" w:eastAsia="Times New Roman" w:hAnsi="Times New Roman" w:cs="Times New Roman"/>
          <w:b/>
          <w:i/>
          <w:spacing w:val="-4"/>
          <w:position w:val="0"/>
          <w:sz w:val="28"/>
          <w:szCs w:val="28"/>
        </w:rPr>
        <w:t xml:space="preserve">«гендер» </w:t>
      </w:r>
      <w:r w:rsidR="007051C1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некоректно ототожнюють зі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b/>
          <w:spacing w:val="-4"/>
          <w:position w:val="0"/>
          <w:sz w:val="28"/>
          <w:szCs w:val="28"/>
        </w:rPr>
        <w:t>статтю людини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та/або</w:t>
      </w:r>
      <w:r w:rsidRPr="00164F69">
        <w:rPr>
          <w:rFonts w:ascii="Times New Roman" w:eastAsia="Times New Roman" w:hAnsi="Times New Roman" w:cs="Times New Roman"/>
          <w:b/>
          <w:spacing w:val="-4"/>
          <w:position w:val="0"/>
          <w:sz w:val="28"/>
          <w:szCs w:val="28"/>
        </w:rPr>
        <w:t xml:space="preserve"> сексуальною орієнтацією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, проте сексуальність є іншою характеристикою соціальної ідентичності людини серед таких важливих характеристик</w:t>
      </w:r>
      <w:r w:rsidR="003C308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як вік, етнічне походження, релігійні переконання тощо.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Ключові ознаки, які пояснюють відмінності «</w:t>
      </w: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статі» та «гендеру»</w:t>
      </w: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tbl>
      <w:tblPr>
        <w:tblStyle w:val="af2"/>
        <w:tblW w:w="9629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12E93" w:rsidRPr="00164F69" w:rsidTr="00EA7CAB">
        <w:trPr>
          <w:trHeight w:val="440"/>
        </w:trPr>
        <w:tc>
          <w:tcPr>
            <w:tcW w:w="4814" w:type="dxa"/>
            <w:tcBorders>
              <w:bottom w:val="single" w:sz="12" w:space="0" w:color="666666"/>
            </w:tcBorders>
            <w:vAlign w:val="center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СТАТЬ</w:t>
            </w:r>
          </w:p>
        </w:tc>
        <w:tc>
          <w:tcPr>
            <w:tcW w:w="4815" w:type="dxa"/>
            <w:tcBorders>
              <w:bottom w:val="single" w:sz="12" w:space="0" w:color="666666"/>
            </w:tcBorders>
            <w:vAlign w:val="center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ГЕНДЕР</w:t>
            </w:r>
          </w:p>
        </w:tc>
      </w:tr>
      <w:tr w:rsidR="00112E93" w:rsidRPr="00164F69">
        <w:tc>
          <w:tcPr>
            <w:tcW w:w="4814" w:type="dxa"/>
            <w:shd w:val="clear" w:color="auto" w:fill="CCCCCC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біологічна характеристика людини</w:t>
            </w:r>
          </w:p>
        </w:tc>
        <w:tc>
          <w:tcPr>
            <w:tcW w:w="4815" w:type="dxa"/>
            <w:shd w:val="clear" w:color="auto" w:fill="CCCCCC"/>
          </w:tcPr>
          <w:p w:rsidR="003329C6" w:rsidRPr="00164F69" w:rsidRDefault="007D42CE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соціокультурні ролі та</w:t>
            </w:r>
            <w:r w:rsidR="00A871CF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стосунки між чоловіками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й </w:t>
            </w:r>
            <w:r w:rsidR="00A871CF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жінками</w:t>
            </w:r>
          </w:p>
          <w:p w:rsidR="003329C6" w:rsidRPr="00164F69" w:rsidRDefault="003329C6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112E93" w:rsidRPr="00164F69">
        <w:tc>
          <w:tcPr>
            <w:tcW w:w="4814" w:type="dxa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відмінна будова статевих органів, пропорцій тіла, співвідношення хромосом і гормонів</w:t>
            </w:r>
          </w:p>
        </w:tc>
        <w:tc>
          <w:tcPr>
            <w:tcW w:w="4815" w:type="dxa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формується суспільством та є продуктом виховання й освіти</w:t>
            </w:r>
          </w:p>
          <w:p w:rsidR="003329C6" w:rsidRPr="00164F69" w:rsidRDefault="003329C6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112E93" w:rsidRPr="00164F69">
        <w:tc>
          <w:tcPr>
            <w:tcW w:w="4814" w:type="dxa"/>
            <w:shd w:val="clear" w:color="auto" w:fill="CCCCCC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не змінюється (якщо не зроблена операція)</w:t>
            </w:r>
          </w:p>
        </w:tc>
        <w:tc>
          <w:tcPr>
            <w:tcW w:w="4815" w:type="dxa"/>
            <w:shd w:val="clear" w:color="auto" w:fill="CCCCCC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може змінюватися</w:t>
            </w:r>
          </w:p>
          <w:p w:rsidR="003329C6" w:rsidRPr="00164F69" w:rsidRDefault="003329C6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A871CF" w:rsidP="00EA7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1"/>
        <w:jc w:val="center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Гендерні стереотипи, у</w:t>
      </w:r>
      <w:r w:rsidR="00BF0440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передження та гендерний мейнстри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мінг.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 жаль, біологічний детермінізм і дотепер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використовують 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як аргументацію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поділу соціальних ролей між жінками та чоловіками, що викарбовувались уявленням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відповідно до яких </w:t>
      </w:r>
      <w:r w:rsidR="00BF04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жінка,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насамперед </w:t>
      </w:r>
      <w:r w:rsidR="00BF04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–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мама, відповідальна за дітей, родину та побут, має лагідний та поступливий характер, не може виконувати важку фізичну роботу, жінки – невправні водії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vertAlign w:val="superscript"/>
        </w:rPr>
        <w:footnoteReference w:id="1"/>
      </w:r>
      <w:r w:rsidR="003150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натомість чоловік має бути сфо</w:t>
      </w:r>
      <w:r w:rsidR="007D42C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кусований на кар’єрному розвиткові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в родині його основна функція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</w:t>
      </w:r>
      <w:r w:rsidR="003150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фінансове забезпечення, він має 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являти 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власну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силу та приховувати емоції тощо. </w:t>
      </w:r>
      <w:r w:rsidR="003150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Такого роду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уявлення 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щодо ролі та рис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жінок </w:t>
      </w:r>
      <w:r w:rsidR="001D230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чоловіків є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гендерними стереотипами </w:t>
      </w:r>
      <w:r w:rsidR="0088564E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й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упередженнями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а система п</w:t>
      </w:r>
      <w:r w:rsidR="003150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ідхо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дів </w:t>
      </w:r>
      <w:r w:rsidR="0031504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«призначення» чоловіка 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жінки у суспільстві 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відповідно до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їх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>ніх біологічних характеристик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highlight w:val="white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є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 статево-рольовим підходом,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який 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підлягає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цілком виправданій критиці. </w:t>
      </w:r>
    </w:p>
    <w:p w:rsidR="00EA7CAB" w:rsidRPr="00164F69" w:rsidRDefault="00EA7CAB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tbl>
      <w:tblPr>
        <w:tblStyle w:val="af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12E93" w:rsidRPr="00164F69">
        <w:trPr>
          <w:trHeight w:val="330"/>
        </w:trPr>
        <w:tc>
          <w:tcPr>
            <w:tcW w:w="9634" w:type="dxa"/>
          </w:tcPr>
          <w:p w:rsidR="003329C6" w:rsidRPr="00164F69" w:rsidRDefault="00A871CF" w:rsidP="0011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567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i/>
                <w:position w:val="0"/>
                <w:sz w:val="28"/>
                <w:szCs w:val="28"/>
              </w:rPr>
              <w:lastRenderedPageBreak/>
              <w:t xml:space="preserve">Гендерні стереотипи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– поширені в суспільстві узагальнені уявлення про те, як поводяться чоловіки та жінки.</w:t>
            </w:r>
          </w:p>
        </w:tc>
      </w:tr>
      <w:tr w:rsidR="003329C6" w:rsidRPr="00164F69">
        <w:tc>
          <w:tcPr>
            <w:tcW w:w="9634" w:type="dxa"/>
          </w:tcPr>
          <w:p w:rsidR="003329C6" w:rsidRPr="00164F69" w:rsidRDefault="00A871CF" w:rsidP="0011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567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i/>
                <w:position w:val="0"/>
                <w:sz w:val="28"/>
                <w:szCs w:val="28"/>
              </w:rPr>
              <w:t xml:space="preserve">Упередження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– це ірраціональне, негнучке ставлення до </w:t>
            </w:r>
            <w:r w:rsidR="005B3401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певної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категорії</w:t>
            </w:r>
            <w:r w:rsidR="0088564E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людей. Можливі й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позитивнi упередження, але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за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звичай упередження є </w:t>
            </w:r>
            <w:r w:rsidR="00382440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негативним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почуття</w:t>
            </w:r>
            <w:r w:rsidR="00382440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м –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це </w:t>
            </w:r>
            <w:r w:rsidR="00382440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антипатія, ворожнеча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або навіть страх.</w:t>
            </w:r>
          </w:p>
        </w:tc>
      </w:tr>
    </w:tbl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16"/>
          <w:szCs w:val="16"/>
        </w:rPr>
      </w:pP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Послуговування такими стереотипами стає причиною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багатьох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проблем, які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позначаються не лише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 п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рофесійн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ому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розвит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ку</w:t>
      </w:r>
      <w:r w:rsidR="008856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особи, але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 як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ості 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тривал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ості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життя жінок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чоловіків, дівчаток та хлопчиків, серед них:</w:t>
      </w:r>
    </w:p>
    <w:tbl>
      <w:tblPr>
        <w:tblStyle w:val="af4"/>
        <w:tblW w:w="9629" w:type="dxa"/>
        <w:jc w:val="center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12E93" w:rsidRPr="00164F69" w:rsidTr="00EA7CAB">
        <w:trPr>
          <w:trHeight w:val="431"/>
          <w:jc w:val="center"/>
        </w:trPr>
        <w:tc>
          <w:tcPr>
            <w:tcW w:w="4814" w:type="dxa"/>
            <w:tcBorders>
              <w:bottom w:val="single" w:sz="12" w:space="0" w:color="666666"/>
            </w:tcBorders>
            <w:vAlign w:val="center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567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u w:val="single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ЖІНКИ</w:t>
            </w:r>
          </w:p>
        </w:tc>
        <w:tc>
          <w:tcPr>
            <w:tcW w:w="4815" w:type="dxa"/>
            <w:tcBorders>
              <w:bottom w:val="single" w:sz="12" w:space="0" w:color="666666"/>
            </w:tcBorders>
            <w:vAlign w:val="center"/>
          </w:tcPr>
          <w:p w:rsidR="003329C6" w:rsidRPr="00164F69" w:rsidRDefault="00A871CF" w:rsidP="00EA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567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ЧОЛОВІКИ</w:t>
            </w:r>
          </w:p>
        </w:tc>
      </w:tr>
      <w:tr w:rsidR="00112E93" w:rsidRPr="00164F69">
        <w:trPr>
          <w:jc w:val="center"/>
        </w:trPr>
        <w:tc>
          <w:tcPr>
            <w:tcW w:w="4814" w:type="dxa"/>
            <w:shd w:val="clear" w:color="auto" w:fill="CCCCCC"/>
          </w:tcPr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>Жінки, котрі мають дітей і перебували у декретній відпустці, стають неконкурентоспроможними на ринку праці, щ</w:t>
            </w:r>
            <w:r w:rsidR="009F2B58"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>о призводить до зубожіння сімей</w:t>
            </w:r>
            <w:r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Жінки становлять більшіс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ть трудових мігрантів з України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У миротворчому контингенті України за кордоном участь брали 42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  <w:r w:rsidR="005B3401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жінки: 5 офіцерів, 2 прапорщики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, 35 сержантів і солдатів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Жінки більше потерпают</w:t>
            </w:r>
            <w:r w:rsidR="0088564E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ь від домашнього насильства. </w:t>
            </w:r>
            <w:r w:rsidR="00382440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90</w:t>
            </w:r>
            <w:r w:rsidR="004A0FA5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  <w:r w:rsidR="0088564E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%</w:t>
            </w:r>
            <w:r w:rsidR="004A0FA5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постраждалих від насильства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– жінки</w:t>
            </w:r>
          </w:p>
        </w:tc>
        <w:tc>
          <w:tcPr>
            <w:tcW w:w="4815" w:type="dxa"/>
            <w:shd w:val="clear" w:color="auto" w:fill="CCCCCC"/>
          </w:tcPr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Тривалість життя чоловіків в Україні в середньому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на 10 років менше, ніж у жінок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У чоловіків вищий, ніж у жінок,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рівень смертності в молоді роки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Суїцид як явище в Україні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більше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характерний </w:t>
            </w:r>
            <w:r w:rsidR="0088564E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для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чоловіків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Серед чоловіків алкоголізм у 6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 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разі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в поширеніший, аніж серед жінок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88564E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 xml:space="preserve">Понад </w:t>
            </w:r>
            <w:r w:rsidR="00382440"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>30 </w:t>
            </w:r>
            <w:r w:rsidR="00A871CF"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>% чоловіків ніколи не стануть батьками з причин низького</w:t>
            </w:r>
            <w:r w:rsidR="009F2B58"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 xml:space="preserve"> рівня репродуктивного здоров’я</w:t>
            </w:r>
            <w:r w:rsidR="00A871CF"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4"/>
                <w:szCs w:val="24"/>
              </w:rPr>
              <w:t xml:space="preserve"> </w:t>
            </w:r>
          </w:p>
          <w:p w:rsidR="003329C6" w:rsidRPr="00164F69" w:rsidRDefault="00A871CF" w:rsidP="0048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40" w:lineRule="auto"/>
              <w:ind w:left="1" w:hanging="1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Хворих на СНІД чоловіків втричі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 більше</w:t>
            </w:r>
          </w:p>
        </w:tc>
      </w:tr>
    </w:tbl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16"/>
          <w:szCs w:val="16"/>
        </w:rPr>
      </w:pPr>
    </w:p>
    <w:p w:rsidR="003329C6" w:rsidRPr="00164F69" w:rsidRDefault="00A871CF" w:rsidP="00483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Перелік проблем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не є вичерпним, б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ільшість 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них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не завжди можна ідентифікувати через їх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ній латентний характер. Отже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щоб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вияв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ити різ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ні фактори та прояви нерівності,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щоразу необхідно дивитися на всі ситуації </w:t>
      </w:r>
      <w:r w:rsidR="002C61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крізь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так звані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«гендерні окуляри» (гендерні лінзи).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Це дає можливість подивитись на будь-яку, навіть звичну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ситуацію, з урахуванням потреб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жінок і чоловіків, наскільки вони враховані, чи мають жінки та чоловіки вплив на ситуацію і який це вплив. Такий підхід до аналізу всіх процесів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дає змогу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ростежити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розриви, дисбаланс, що вже в результаті </w:t>
      </w:r>
      <w:r w:rsidR="00C06C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допомагає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приймати рішення щодо того, яким чином їх можна усунути, щоб жінки та чоловіки отримували користь та не зазнавали дискримінації. </w:t>
      </w:r>
    </w:p>
    <w:p w:rsidR="00B66188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Сам процес оцінки впливу заходів, політик, законодавчих актів, прийнятих рішень на життя жінок та чоловіків називається </w:t>
      </w:r>
      <w:r w:rsidR="00C06C42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гендерним мейнстри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мінгом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(інші варіанти назви – гендерне інтегрування або впровадження гендерних підходів)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. </w:t>
      </w:r>
    </w:p>
    <w:p w:rsidR="003329C6" w:rsidRPr="00164F69" w:rsidRDefault="00C06C42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Chars="202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Гендерний мейнстри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мінг дозволяє врахувати потреби, інтереси та досвід чоловіків і жінок 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під час розроб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лення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р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еалізації, моніторингу та оцінки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заходів,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програм, політик, законів тощо в у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сіх сферах політичного, економічного та соціального життя. </w:t>
      </w:r>
    </w:p>
    <w:tbl>
      <w:tblPr>
        <w:tblStyle w:val="a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EA7CAB" w:rsidRPr="00164F69">
        <w:trPr>
          <w:trHeight w:val="557"/>
        </w:trPr>
        <w:tc>
          <w:tcPr>
            <w:tcW w:w="9629" w:type="dxa"/>
          </w:tcPr>
          <w:p w:rsidR="003329C6" w:rsidRPr="00164F69" w:rsidRDefault="00A871CF" w:rsidP="0011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567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i/>
                <w:position w:val="0"/>
                <w:sz w:val="28"/>
                <w:szCs w:val="28"/>
              </w:rPr>
              <w:t xml:space="preserve">Гендерні окуляри (гендерні лінзи) </w:t>
            </w:r>
            <w:r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– здатність помічати факти та прояви гендерної нерівності, сексизму, бачити наявність та дію гендерних стереотипів; ск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ладова гендерної чуттєвості</w:t>
            </w:r>
          </w:p>
        </w:tc>
      </w:tr>
    </w:tbl>
    <w:tbl>
      <w:tblPr>
        <w:tblStyle w:val="af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EA7CAB" w:rsidRPr="00164F69">
        <w:tc>
          <w:tcPr>
            <w:tcW w:w="9629" w:type="dxa"/>
          </w:tcPr>
          <w:p w:rsidR="003329C6" w:rsidRPr="00164F69" w:rsidRDefault="00C06C42" w:rsidP="00112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firstLine="567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i/>
                <w:position w:val="0"/>
                <w:sz w:val="28"/>
                <w:szCs w:val="28"/>
              </w:rPr>
              <w:t>Гендерний мейнстри</w:t>
            </w:r>
            <w:r w:rsidR="002C614B" w:rsidRPr="00164F69">
              <w:rPr>
                <w:rFonts w:ascii="Times New Roman" w:eastAsia="Times New Roman" w:hAnsi="Times New Roman" w:cs="Times New Roman"/>
                <w:b/>
                <w:i/>
                <w:position w:val="0"/>
                <w:sz w:val="28"/>
                <w:szCs w:val="28"/>
              </w:rPr>
              <w:t xml:space="preserve">мінг </w:t>
            </w:r>
            <w:r w:rsidR="002C614B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– </w:t>
            </w:r>
            <w:r w:rsidR="00A871CF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це процес оцінки впливу будь-яких запланованих заходів, </w:t>
            </w:r>
            <w:r w:rsidR="004A0FA5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зокрема</w:t>
            </w:r>
            <w:r w:rsidR="00A871CF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 xml:space="preserve"> законодавчих актів, політики або програм, на життя жінок і чоловіків </w:t>
            </w:r>
            <w:r w:rsidR="009F2B58" w:rsidRPr="00164F69"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</w:rPr>
              <w:t>у всіх сферах та на всіх рівнях</w:t>
            </w:r>
          </w:p>
        </w:tc>
      </w:tr>
    </w:tbl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lastRenderedPageBreak/>
        <w:t>Гендерна рівність: поняття, значення та переваги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  <w:highlight w:val="yellow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 розрізі історичного контексту можемо простежити, що жінки та чоловіки сто років </w:t>
      </w:r>
      <w:r w:rsidR="004A0FA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тому й </w:t>
      </w:r>
      <w:r w:rsidR="00E1489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сьогодні</w:t>
      </w:r>
      <w:r w:rsidR="005B340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2C61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–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абсолютно різні. У 1915 році жінки </w:t>
      </w:r>
      <w:r w:rsidR="002C61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багатьох країн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серед яких США та Франція, не мали права голосу, проте </w:t>
      </w:r>
      <w:r w:rsidR="002C61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наразі вони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не лише голосують, а й </w:t>
      </w:r>
      <w:r w:rsidR="004A0FA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обіймають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високі посади та мають високі звання у державних та 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приватних структурах.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4A0FA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Так, можна назвати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канцлерку Німе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ччи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ни Ангелу Меркель, першу прем’єр-міністерку в історії Фінляндії Сану Марін, генеральну директор</w:t>
      </w:r>
      <w:r w:rsidR="004A0FA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YouTube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083A5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Сьюза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Во</w:t>
      </w:r>
      <w:r w:rsidR="00083A5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йчиць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кі, першу жінку-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генерал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 історії збройни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х сил України Людмилу Шугалей. </w:t>
      </w:r>
      <w:r w:rsidR="004A0FA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Щоразу більше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дівчат та жінок здобувають освіту та працюють у STEM спеціальностях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vertAlign w:val="superscript"/>
        </w:rPr>
        <w:footnoteReference w:id="2"/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обирають професійний шлях в органах сектору безпеки та оборони, які завжди вважалися суто «чоловічими» та деякі посади в яких були офіційно заборонені для </w:t>
      </w:r>
      <w:r w:rsidR="00083A5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того, щоб їх обіймали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жінки до вересня 2018 року.</w:t>
      </w:r>
      <w:r w:rsidR="00083A5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Водночас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чоловік, який бере відпустку по догляду за дитиною та/або виконує хатню роботу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вже не є «білою вороною» у різних країнах світу. Таких прикладів можна навести безліч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і це свідчить про те, що відбувається постійна соціальна трансформація, в якій самовираження людини, її інтереси та прагнення реалізуються незалежно від її статі, належності до певних груп тощо. </w:t>
      </w:r>
    </w:p>
    <w:p w:rsidR="003329C6" w:rsidRPr="00164F69" w:rsidRDefault="00B43FE6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Саме в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провадження </w:t>
      </w:r>
      <w:r w:rsidR="00A871CF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  <w:u w:val="single"/>
        </w:rPr>
        <w:t>гендерної рівності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є однією з важливих умов позитивних змін у житті суспільства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загалом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соціально-економічного розвитку, реалізації прав людини та її особистості, запорукою ефективного розв’язання наявних проблем та укріпленн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я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національної безпеки.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Відповідно до статті 1 Закону України «Про забезпечення рівних прав і можливостей чоловіків та жінок»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  <w:u w:val="single"/>
        </w:rPr>
        <w:t>гендерна рівність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</w:t>
      </w:r>
      <w:r w:rsidR="00B43FE6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–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рівний правовий статус жінок і чоловіків та рівні можливості </w:t>
      </w:r>
      <w:r w:rsidR="00B43FE6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щодо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його реалізації, що дозволяє особам обох статей брати </w:t>
      </w:r>
      <w:r w:rsidR="00DD5325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однакову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участь у всіх сферах життєдіяльності суспільства.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Гендерна рівність стосується як жінок, так і чоловіків, але надання привілеїв або переваг одній статі одразу ж позначається на становищі іншої, а в результаті – на розвитку суспільства. </w:t>
      </w:r>
    </w:p>
    <w:p w:rsidR="00D2606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Досягнення гендерної рівності в суспільстві – це не відбирання влади у чоловіків і передача її жінкам, а це рівна участь у процесах прийняття рішень і розподілі ресурсів незалежно від статі, це співпраця та</w:t>
      </w:r>
      <w:r w:rsidR="00B43FE6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партнерство між жінками та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чоловіками.</w:t>
      </w:r>
    </w:p>
    <w:p w:rsidR="003329C6" w:rsidRPr="00164F69" w:rsidRDefault="00541981" w:rsidP="00B754B9">
      <w:pPr>
        <w:pStyle w:val="afa"/>
        <w:spacing w:line="235" w:lineRule="auto"/>
        <w:rPr>
          <w:color w:val="auto"/>
        </w:rPr>
      </w:pPr>
      <w:bookmarkStart w:id="10" w:name="_Toc37071298"/>
      <w:r w:rsidRPr="00164F69">
        <w:rPr>
          <w:color w:val="auto"/>
        </w:rPr>
        <w:br w:type="column"/>
      </w:r>
      <w:r w:rsidR="00A871CF" w:rsidRPr="00164F69">
        <w:rPr>
          <w:color w:val="auto"/>
        </w:rPr>
        <w:lastRenderedPageBreak/>
        <w:t>2. Причини виникнення гендерної нерівності</w:t>
      </w:r>
      <w:bookmarkEnd w:id="10"/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Існує безліч факторів, які впливають на становище чи статус жінки, </w:t>
      </w:r>
      <w:r w:rsidR="00E1489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іноді також і чоловіка, в певному суспільстві чи державі. З огляду на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стал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ен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 категорії, що нас оточують з дитинства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та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впливають упродовж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сього життя, спробуємо розкрити причини гендерної нерівності загалом.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Можна ви</w:t>
      </w:r>
      <w:r w:rsidR="00B43FE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окремити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такі основні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причини гендерної нерівності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: </w:t>
      </w:r>
    </w:p>
    <w:p w:rsidR="003329C6" w:rsidRPr="00164F69" w:rsidRDefault="00B43FE6" w:rsidP="00B754B9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i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стереотипи;</w:t>
      </w:r>
      <w:r w:rsidR="00A871CF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 </w:t>
      </w:r>
    </w:p>
    <w:p w:rsidR="003329C6" w:rsidRPr="00164F69" w:rsidRDefault="00B43FE6" w:rsidP="00B754B9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i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гендерні установки.</w:t>
      </w:r>
    </w:p>
    <w:p w:rsidR="00B66188" w:rsidRPr="00164F69" w:rsidRDefault="00D53EA6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Усі вони пов’язані та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доповнюють один одного,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є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частиною нашого життя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й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так чи інакше впливають на нашу поведінку,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формують світогляд і мають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як позитивне значення, так і негативне, головне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це 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усвідоми</w:t>
      </w:r>
      <w:r w:rsidR="00D2606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ти й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спираючись на всебічне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дослідження певного питання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сформувати </w:t>
      </w:r>
      <w:r w:rsidR="0021482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власну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позицію.</w:t>
      </w:r>
    </w:p>
    <w:p w:rsidR="00EE712B" w:rsidRPr="00164F69" w:rsidRDefault="00EE712B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 xml:space="preserve">Стереотипи.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Механізмом, що забезпечує закріплення й трансляцію з покоління в покоління гендерних ролей, є гендерні стереотипи – внутрішні установки щодо місця, ролі, значення чоловіка та жінки в суспільстві, сім’ї. Визначають кілька груп гендерних стереотипів.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До першої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D53EA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належать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стереотипи маскулінності-фемін</w:t>
      </w:r>
      <w:r w:rsidR="00B6618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інності. Стереотипному уявленню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маскулінності </w:t>
      </w:r>
      <w:r w:rsidR="00DD532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приписують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«активно творчі» характеристики, інструментальні риси особистості, як-</w:t>
      </w:r>
      <w:r w:rsidR="00D53EA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от: активність, домінантність,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певненість у собі, агресивність, логічне мислення, здатність до лідерства. Фемінінність, навпаки, </w:t>
      </w:r>
      <w:r w:rsidR="00DD532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розглядають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як «пасивно-репродуктивне начало», що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набув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ає прояв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 експресивних особистісних характеристиках: залежності, турботливості, низькій самооцінці, емоційності.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Друга група гендерних стереотипів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DD532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містить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уявлення </w:t>
      </w:r>
      <w:r w:rsidR="00DD532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щодо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розподіл</w:t>
      </w:r>
      <w:r w:rsidR="00DD532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сімейних і пр</w:t>
      </w:r>
      <w:r w:rsidR="002937C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офесійних ролей між чоловіками та</w:t>
      </w:r>
      <w:r w:rsidR="005B340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жінками. Для жінки найважливішою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соціальною роллю вважається роль домогоспод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арки, матері. Жінці приписують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перебування </w:t>
      </w:r>
      <w:r w:rsidR="002937C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приватній сфері життя 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–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дім, народження дітей, на неї покладається відповідальність за взаємини в сім’ї. Чоловікам 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–</w:t>
      </w:r>
      <w:r w:rsidR="005B340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активність у громадському житті, професійний успіх, відповідальність за матеріальне забезпечення сім’ї. </w:t>
      </w:r>
    </w:p>
    <w:p w:rsidR="00B66188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Третя група гендерних стереотипів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визнач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ена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специфікою змісту праці. 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традиційни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уявлен</w:t>
      </w:r>
      <w:r w:rsidR="009F2B5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нями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жіноча праця повин</w:t>
      </w:r>
      <w:r w:rsidR="005B340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 мати виконавський, обслугов</w:t>
      </w:r>
      <w:r w:rsidR="007F26F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ую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чий характер, бути </w:t>
      </w:r>
      <w:r w:rsidR="007F26F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елементом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експресивної сфери діяльності. Жінки найчастіше працюють у сфері торгівлі, охорони здоров’я, освіти. Для чоловіків можлива творча </w:t>
      </w:r>
      <w:r w:rsidR="002937C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керівна робота. Їх</w:t>
      </w:r>
      <w:r w:rsidR="002937C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праця визначається в інструментальній сфері діяльності.</w:t>
      </w:r>
    </w:p>
    <w:p w:rsidR="00EE712B" w:rsidRPr="00164F69" w:rsidRDefault="00EE712B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spacing w:val="-6"/>
          <w:position w:val="0"/>
          <w:sz w:val="28"/>
          <w:szCs w:val="28"/>
        </w:rPr>
        <w:t>Гендерні установки.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Не</w:t>
      </w:r>
      <w:r w:rsidR="00D26066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одмінним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компонентом гендерної ідентичності особистості є гендерні уявлення, </w:t>
      </w:r>
      <w:r w:rsidR="007F26FF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що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активно формуються саме в дошкільному віці. </w:t>
      </w:r>
      <w:r w:rsidRPr="00164F69">
        <w:rPr>
          <w:rFonts w:ascii="Times New Roman" w:eastAsia="Times New Roman" w:hAnsi="Times New Roman" w:cs="Times New Roman"/>
          <w:i/>
          <w:spacing w:val="-6"/>
          <w:position w:val="0"/>
          <w:sz w:val="28"/>
          <w:szCs w:val="28"/>
        </w:rPr>
        <w:t>Гендерні уявлення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– це первинні знання, які є основою гендер</w:t>
      </w:r>
      <w:r w:rsidR="00D26066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ної ідентичності. Вони відтворю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ють узагальнений образ маскулінності, фемінності, андрогінності, статевої недиференційованості, засвою</w:t>
      </w:r>
      <w:r w:rsidR="00E76DC8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вані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в процесі гендерної соціалізації. </w:t>
      </w:r>
    </w:p>
    <w:p w:rsidR="00C34BDC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Завдяки сформованим гендерним уявленням особистість набуває індивідуального гендерного досвіду, що </w:t>
      </w:r>
      <w:r w:rsidR="005B3401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можна прослідкувати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 поведінкових,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lastRenderedPageBreak/>
        <w:t>емоційних, мотиваційних проявах особистості. Гендерні уявлення дитини формуються не самі</w:t>
      </w:r>
      <w:r w:rsidR="00DD5325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собою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а під впливом гендерних стереотипів, настанов, знань, суджень, цінностей, які має кожне конкретне суспільство, нація, народ і </w:t>
      </w:r>
      <w:r w:rsidR="0022126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свідомо</w:t>
      </w:r>
      <w:r w:rsidR="0022126C" w:rsidRPr="00164F69">
        <w:rPr>
          <w:position w:val="0"/>
        </w:rPr>
        <w:t xml:space="preserve"> </w:t>
      </w:r>
      <w:r w:rsidR="0022126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чи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несвідомо прищеплює їх своїм нащадкам.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567"/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Гендерна ідентичність особистості </w:t>
      </w:r>
      <w:r w:rsidR="00E76DC8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ви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являється як у виборі соціальних ролей, що приймаються до засвоєння, так і в характері їх виконання, в максимальних цілях, що </w:t>
      </w:r>
      <w:r w:rsidR="00E76DC8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визначає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перед собою особистість. Гендерна ідентичність </w:t>
      </w:r>
      <w:r w:rsidR="00D26066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охоплює 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статеве самоусвідомлення та поведінку. Отже, гендерна поведінка виникає в процесі соціалізації під впливом гендерних стереотипів та існує в умовах гендерної ідентичності. За своєю суттю гендерна поведінка є статево</w:t>
      </w:r>
      <w:r w:rsidR="00E76DC8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типізованою. </w:t>
      </w:r>
    </w:p>
    <w:p w:rsidR="003329C6" w:rsidRPr="00164F69" w:rsidRDefault="00150D19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Аналізуючи наукову літературу,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можна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виокремити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два основні </w:t>
      </w:r>
      <w:r w:rsidR="00A871CF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типи гендерних установок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 патріархальні та феміністичні. </w:t>
      </w:r>
    </w:p>
    <w:p w:rsidR="00656392" w:rsidRPr="00164F69" w:rsidRDefault="0022126C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П</w:t>
      </w:r>
      <w:r w:rsidR="00A871CF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атріарха</w:t>
      </w:r>
      <w:r w:rsidR="001A3742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льні установки 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мають такі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характерні особливості: </w:t>
      </w:r>
    </w:p>
    <w:p w:rsidR="003329C6" w:rsidRPr="00164F69" w:rsidRDefault="00656392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1) </w:t>
      </w:r>
      <w:r w:rsidR="006D0A5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підхід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згідно з яким чоловікові належить </w:t>
      </w:r>
      <w:r w:rsidR="00150D1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провідна, активна роль у сім’ї та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суспільстві, а жінці – підпорядкована, пасивна;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2) переконання, що життєві цінності жінок і чоловіків різні: сім’я і кохання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– основні цінності для жінок; справа, робота, самореалізація поза сім’єю – цінності чоловіків;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3) надання переваги сімейним</w:t>
      </w:r>
      <w:r w:rsidR="0022126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стосункам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яких чоловік є главою сім’ї, </w:t>
      </w:r>
      <w:r w:rsidR="00D457A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робить основний внесок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бюджет сім’ї;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4) осуд поведінки жінки, в якої домінують орієнтації на самореалізацію поза сім’єю, на кар’єру, професійні досягнення;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5</w:t>
      </w:r>
      <w:r w:rsidR="00B04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) уявлення про те, що патріархаль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на модель суспільства природна, зумовлена біологічними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статевими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відмінностями.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Феміністичні установки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свідомості </w:t>
      </w:r>
      <w:r w:rsidR="00D457A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охоплюють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такі аспекти: </w:t>
      </w:r>
    </w:p>
    <w:p w:rsidR="003329C6" w:rsidRPr="00164F69" w:rsidRDefault="00A871CF" w:rsidP="00B754B9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5" w:lineRule="auto"/>
        <w:ind w:left="0" w:firstLine="567"/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засудження використання біологічних статевих відмінностей для впровадження жорстко закріпленого, підпорядко</w:t>
      </w:r>
      <w:r w:rsidR="00656392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ваного становища жінки в сім’ї та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суспільстві; </w:t>
      </w:r>
    </w:p>
    <w:p w:rsidR="003329C6" w:rsidRPr="00164F69" w:rsidRDefault="00D22DF4" w:rsidP="00B754B9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несприйняття існування в сім’ї та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суспільстві </w:t>
      </w:r>
      <w:r w:rsidR="0022126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суворо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закріплених чоловічих і жіночих ролей; </w:t>
      </w:r>
    </w:p>
    <w:p w:rsidR="003329C6" w:rsidRPr="00164F69" w:rsidRDefault="00D22DF4" w:rsidP="00B754B9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переконання, що жінки й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чоловіки в сучасному суспільстві мають неоднакові можливості для самореалізації в різних сферах, і такий стан визнається несправедливим; </w:t>
      </w:r>
    </w:p>
    <w:p w:rsidR="003329C6" w:rsidRPr="00164F69" w:rsidRDefault="00A871CF" w:rsidP="00B754B9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ідхі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д, відповідно до якого для жінки високу цінність мають професійні досягнення, кар’єра, ро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зкриття власних можливостей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здібностей, прагнення до самореалізації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різних сферах суспільного життя; </w:t>
      </w:r>
    </w:p>
    <w:p w:rsidR="003329C6" w:rsidRPr="00164F69" w:rsidRDefault="00A871CF" w:rsidP="00B754B9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ідхі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виховання дітей, згідно з яким суспільство повинно максимально прагнути рівної участі батьк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матері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житті дитини; </w:t>
      </w:r>
    </w:p>
    <w:p w:rsidR="003329C6" w:rsidRPr="00164F69" w:rsidRDefault="00E76DC8" w:rsidP="00B754B9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35" w:lineRule="auto"/>
        <w:ind w:left="0" w:firstLine="567"/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засудження</w:t>
      </w:r>
      <w:r w:rsidR="00A871CF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ставлення до жінки як до об’єкта сексуального пригнічення; </w:t>
      </w:r>
    </w:p>
    <w:p w:rsidR="00483F79" w:rsidRPr="00164F69" w:rsidRDefault="00A871CF" w:rsidP="00483F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Отже, кожн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людин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щоб бути самодостатньою та реалізуватися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різних сферах життєдіяльності,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має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долати стереотипи</w:t>
      </w:r>
      <w:r w:rsidR="0022126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нав’язу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вані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 народження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що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заважають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себічному розвиткові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особистості, оскільки від самого початку обмежують у виборі роду занять, залежно від суспільн</w:t>
      </w:r>
      <w:r w:rsidR="0042525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ої думки, поділу на «чоловічі» та</w:t>
      </w:r>
      <w:r w:rsidR="00D457A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«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жіночі» професії тощо.</w:t>
      </w:r>
    </w:p>
    <w:p w:rsidR="003329C6" w:rsidRPr="00164F69" w:rsidRDefault="00483F79" w:rsidP="00483F79">
      <w:pPr>
        <w:pStyle w:val="afa"/>
        <w:rPr>
          <w:color w:val="auto"/>
        </w:rPr>
      </w:pPr>
      <w:r w:rsidRPr="00164F69">
        <w:rPr>
          <w:color w:val="auto"/>
        </w:rPr>
        <w:br w:type="column"/>
      </w:r>
      <w:bookmarkStart w:id="11" w:name="_Toc37071299"/>
      <w:r w:rsidR="00A871CF" w:rsidRPr="00164F69">
        <w:rPr>
          <w:color w:val="auto"/>
        </w:rPr>
        <w:lastRenderedPageBreak/>
        <w:t>3. Співвідношення паритетної демократії та гендерної рівності</w:t>
      </w:r>
      <w:bookmarkEnd w:id="11"/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Гендерна демократія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 принцип, що забезпечує жінкам на рі</w:t>
      </w:r>
      <w:r w:rsidR="001A374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вних умовах із чоловіками право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голосувати на всіх виборах і публічних референдумах та бути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обраними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до</w:t>
      </w:r>
      <w:r w:rsidR="00A54EE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всі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х</w:t>
      </w:r>
      <w:r w:rsidR="00A54EE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публічно виборн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их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орган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; брати участь у формуванні та здійсненні політики уряду, </w:t>
      </w:r>
      <w:r w:rsidR="00A54EE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обі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ймати державні посади, а також здійснювати державні функції на всіх рівнях державного управління; брати участь у діяльності неурядових організацій і асоціацій, що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вирішу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ють питання 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громадського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політичного життя країни.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Паритетна демократія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 політико-правова форма організації соціально-статевих відноси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 у суспільстві, за якої жінки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чоловіки мають рівний правовий та політичний статус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і як рівноправні представ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ники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здійснюють діяльність у гендерно збалансованих органах влади та у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правлінських структурах. Іноді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пропонується звужений зміст досліджуваного явища,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акцент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лише на гендерному аспекті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політиці та органах державної влади. Так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A54EE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сприйняття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категорії «паритетна демократія» </w:t>
      </w:r>
      <w:r w:rsidR="00D136A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було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на початку своєї історичної появи.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Так само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розгляд поняття «паритетна демократія» зобов’язує звернутися до з’ясування сутності термін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«паритет».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Паритет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(від лат. рaritas – рівність) означає принцип рівного</w:t>
      </w:r>
      <w:r w:rsidR="00A54EE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представництва сторін; ідеальну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рівність; стан відносної рівноваги сил, рівн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оцінності цілей, рівності прав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обов’язків; рівність відносин двох або більше сторін з яких-небудь параметрів; рівне представництво сторін під час вирішення договірних актів, конфліктів, розгляду питань, що стосується двох і більше сторін тощо. Поняття «паритет» має соціально-економічне походження </w:t>
      </w:r>
      <w:r w:rsidR="00D22DF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спочатку використовувалося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таких словосполученнях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як «валютний паритет», «грошовий паритет», з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год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ом його сфера застосування розширилася: «паритет купівельної спроможності», «ядерний паритет», «паритет виборчий», «парламентський паритет», «паритетна демократія» т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ощо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. Рівність, толерантність, узгодженість інтересів перетворюються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самостійні принципи сучасної демократії, надаючи їй форми паритетної демократії. Ефективна реалізація ідей паритетної демократії потребує напрацювання стратегічних орієнтирів на довготривалу перспективу з метою запобігання появ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та ліквідації умов для домінування одних суб’єктів </w:t>
      </w:r>
      <w:r w:rsidR="00D136A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шляхом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обмеження прав і свобод інших.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Важливим аспектом паритетної демократії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є гендерна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рівність у всіх сферах життєдіяльності.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Отже,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 аспекті моделі паритетної демократії наголошується, по-перше, на необхіднос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ті гарантування прав та свобод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сіх учасників демократичного процесу; по-друге, не обмежуються сфери реалізації рівності прав і свобод людини.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Паритетна демократія базується на пропорційному (в ідеалі – паритетному, тобто 50/50) представництві жінок 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чоловіків у всіх гілках як законодавчої, так і виконавчої влади. Гендерний аспект цінності історичного творення та функціонування демократії в Україні в тому, що вона – неодмінна передумова творення громадянського суспільства й демократичної держави, важливий чинник формування соціальних відносин на </w:t>
      </w:r>
      <w:r w:rsidR="00A54EE4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підставі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паритетності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lastRenderedPageBreak/>
        <w:t xml:space="preserve">Пропорційне представництво жінок та чоловіків у всіх гілках влади насправді є базовим елементом паритетної демократії, проте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конкретному випадку йде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ться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про рівне представництво обох статей в органах влади, яке можна назвати «парламентськи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паритет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», «урядови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паритет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»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тощо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а це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не є тотожними з терміном «паритетна демократія». Підтвердженням цього є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зокрема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щорічне дослідження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Індекс гендерного розриву (The Global Gender Gap Index), відповідно до якого найгірші позиції 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щодо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гендерн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ої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рівності Україна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посідає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 сфері гарантування політичних прав.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Отже, розвиток паритетної демократії та гендерної демократії є взаємозалежними та взаємодоповню</w:t>
      </w:r>
      <w:r w:rsidR="00E76DC8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ван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ими процесами. Фундаментом подальшого суспільного прогресу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є рівноправність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сіх його членів. Для демо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кратичної держави є неприпустимим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повн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або частков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відсторонення населення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від прийняття важливих державно-суспільних рішень.</w:t>
      </w:r>
    </w:p>
    <w:p w:rsidR="003329C6" w:rsidRPr="00164F69" w:rsidRDefault="00A871CF" w:rsidP="00112E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Метою паритетної та гендерної демократій є встановлення соціальної справедливості. Уникнення дискримінації/подвійної дискримінації зумовлює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насичення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кожн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ої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складов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ої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паритетної демократії основоположними засадами гендерної демократії, оскільки будь-яка соціальна група,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що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може піддаватися обмеженням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із боку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суспільства чи органів влади, поділяється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зазвичай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 ч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оловіків та жінок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також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обов’язково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має дотримуватися гендерного балансу у своєму середовищі. </w:t>
      </w:r>
    </w:p>
    <w:p w:rsidR="003329C6" w:rsidRPr="00164F69" w:rsidRDefault="00A871CF" w:rsidP="00112E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Наявність гендерних диспропорцій в окремих сферах означає фактичну дискримінацію, що не відповідає вимогам сучасної̈ демократії̈. Зокрема, зважаючи на низьке представництво жінок у Верховній Раді, серед дер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жслужбовців не лише першої, а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другої посадової категорії, можна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дій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ти виснов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про неможливість для жінок суттєво впливати на процес прийняття важливих і відповідальних дл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я держави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суспільства рішень. </w:t>
      </w:r>
    </w:p>
    <w:p w:rsidR="003329C6" w:rsidRPr="00164F69" w:rsidRDefault="00A871CF" w:rsidP="00112E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Існує не лише вертикальна, 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й горизонтальна сегрегація за сферами діяльності,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що перетворює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освітню галузь, статистику, охорону здоров’я, соціальний захист і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низку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інших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жіночу царину.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Це шкодить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рахуванню статевої спец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ифіки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негативно впливає на </w:t>
      </w:r>
      <w:r w:rsidR="00F514D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остаточний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результат діяльності. Тож гендерна рівновага як елемент паритетної демократії упереджує можливі негативні наслідки щодо різних статей у всіх без 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винятку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напрямках функціонування держави </w:t>
      </w:r>
      <w:r w:rsidR="001445A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й суспільства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 управлінні всіма соціальними процесами. </w:t>
      </w:r>
    </w:p>
    <w:p w:rsidR="003329C6" w:rsidRPr="00164F69" w:rsidRDefault="00A871CF" w:rsidP="00112E9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Отже, паритетна демократія та гендерна демократія – о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бов’язкові елементи формування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розвитку демократичн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ої соціальної правової держави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громадянського суспільства, основою яких є забезпечення політичних, соціальних, економічних, к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ультурних прав і свобод людини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громадянина. Вони змістовно значно розширилися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 огляду на їх ретроспективу та з урахуванням динамічного розвитку суспільних відносин. </w:t>
      </w:r>
    </w:p>
    <w:p w:rsidR="007340D0" w:rsidRPr="00164F69" w:rsidRDefault="007340D0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B754B9" w:rsidP="00B754B9">
      <w:pPr>
        <w:pStyle w:val="afa"/>
        <w:rPr>
          <w:color w:val="auto"/>
        </w:rPr>
      </w:pPr>
      <w:r w:rsidRPr="00164F69">
        <w:rPr>
          <w:color w:val="auto"/>
        </w:rPr>
        <w:br w:type="column"/>
      </w:r>
      <w:bookmarkStart w:id="12" w:name="_Toc37071300"/>
      <w:r w:rsidR="00A871CF" w:rsidRPr="00164F69">
        <w:rPr>
          <w:color w:val="auto"/>
        </w:rPr>
        <w:lastRenderedPageBreak/>
        <w:t>4. Поняття та види дискримі</w:t>
      </w:r>
      <w:r w:rsidR="00585C3A" w:rsidRPr="00164F69">
        <w:rPr>
          <w:color w:val="auto"/>
        </w:rPr>
        <w:t>нації, сексизм та позитивні дії</w:t>
      </w:r>
      <w:bookmarkEnd w:id="12"/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Відповідно до статті 1 Закону України «Про засади запобігання та протидії дискримінації в Україні»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  <w:u w:val="single"/>
        </w:rPr>
        <w:t xml:space="preserve">дискримінація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– це ситуація, за якої особа та/або група осіб за їхніми ознаками раси, кольору шкіри, політичних, релігійних та інших переконань, статі, віку, інвалідності, етнічного й соціального походження, громадянства, сімейного та майнового стану, місця проживання, мовними чи іншими ознаками, що були, є та можуть бути дійсними або припущеними, зазнає обмеження у визнанні, реалізації або користуванні правам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свободами в будь-якій формі, визначеній законом, крім випадків, коли таке обмеження має правомірну, об’єктивно обґрунтовану мету, способи досягнення якої є належними та необхідними.</w:t>
      </w:r>
    </w:p>
    <w:p w:rsidR="002D544E" w:rsidRPr="00164F69" w:rsidRDefault="002D544E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 xml:space="preserve">Види дискримінації: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Пряма дискримінація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характеризується як намі</w:t>
      </w:r>
      <w:r w:rsidR="002D54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 дискримінувати особу чи групу. Н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априклад, бюро з працевлаштування відкидає претендента певної національної ознаки або житлова компанія не продає квартири для осіб «кавказької національності».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Непряма дискримінація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зумовлена впливом політики або конкретних заходів: це відбувається тоді, коли формально нейтральні правила, критерії або практика ставлять де-факто особу або осіб певної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меншини у невигідне становище 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порівнянні з іншими. </w:t>
      </w:r>
      <w:r w:rsidR="001445A9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Прикладом може бути</w:t>
      </w:r>
      <w:r w:rsidR="002D544E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мінімальний критерій росту для певної професії (завдяки чому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із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заявників може бути виключено набагато більше жінок,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ніж чоловіків).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Дискримінація за ознакою статі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–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дії чи бездіяльність, що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поляга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ють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будь-як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ому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розрізненн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винят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або привілеї за ознакою статі, якщо вони спрямовані на обмеження або унеможливлюють визнання, користування чи здійснення на рівних підставах прав і свобод людини для жінок та чоловіків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(ст. 1 Закону України «Про забезпечення рівних прав та можливостей жінок і чоловіків</w:t>
      </w:r>
      <w:r w:rsidR="00585C3A"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»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).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Дискримінація за ознакою 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статі є порушенням прав людини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перешкоджає реалізації прав людини </w:t>
      </w:r>
      <w:r w:rsidR="007340D0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й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основоположних свобод, як це було визнано Комітетом ООН з ліквідації дискримінації щодо жінок у його Загальній рекомендації №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28, яка стосується основних обов’язків держав-учасниць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відповідно до статті 2 Конвенції про ліквідацію всіх форм дискримінації щодо жінок.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Також видом дискримінації за ознакою статі є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сексизм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. 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ексизмом слід 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вважати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конкретні дії дискримінаційного характеру, принизливі висловлювання, що містять посилання на стать людини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та її репродуктивні функції, 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 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та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кож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упереджений погляд на міжстатеві стосунки.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Сексизм посилюється гендерними стереотипами, пов’язаний із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насильством стосовно жінок і дівчат, а тому «повсякденний» сексизм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є частиною насильницького середовища, що формує атмосферу залякування, страху, дискримінації, виключення та незахищеності, які обмежують можливості й свободу. </w:t>
      </w:r>
    </w:p>
    <w:p w:rsidR="003329C6" w:rsidRPr="00164F69" w:rsidRDefault="00585C3A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lastRenderedPageBreak/>
        <w:t xml:space="preserve">До прикладу,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останні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ми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рок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ам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и засоби масової інформації тиражують три сексистські образи жінки, пов’язані з її біологічною природою.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Перший тісно пов’язаний 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жіночою 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сексуальністю. Це образ жінки-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красуні, сексуально привабливої молодої істоти, що не має волі, розуму, прагнень, хіба що любовн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почутт</w:t>
      </w:r>
      <w:r w:rsidR="00585C3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до чоловіка, який і є сенсом її життя.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Другий – образ жінки-господарки, </w:t>
      </w:r>
      <w:r w:rsidR="001445A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берегині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, матері. Використовуючи його, маніпулюючи ним </w:t>
      </w:r>
      <w:r w:rsidR="00585C3A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у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реальному житті, зручно звільняти жінок </w:t>
      </w:r>
      <w:r w:rsidR="00585C3A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з роботи й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відмовляти </w:t>
      </w:r>
      <w:r w:rsidR="00EF6D8A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їм у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кар’єрному</w:t>
      </w:r>
      <w:r w:rsidR="001445A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зростанні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. Характерним є те, що обидва ці стереотипні образи пропагують образ</w:t>
      </w:r>
      <w:r w:rsidR="00EF6D8A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жінки на утриманні, </w:t>
      </w:r>
      <w:r w:rsidR="001445A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як</w:t>
      </w:r>
      <w:r w:rsidR="00A6788A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у</w:t>
      </w:r>
      <w:r w:rsidR="001445A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цілком 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з</w:t>
      </w:r>
      <w:r w:rsidR="001445A9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абезпечує чоловік або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кохан</w:t>
      </w:r>
      <w:r w:rsidR="00A6788A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ець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Третя стереотипна модель – це бізнес-леді</w:t>
      </w:r>
      <w:r w:rsidR="00A678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або жінка-бізнесмен. Така жінка наділена сильним характером, працелюбністю, розумом, вольовими якостями, але обов’язково </w:t>
      </w:r>
      <w:r w:rsidR="00A678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має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труднощі в сімейному та особистому 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житті, її діти обділені увагою та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потерпають від домашніх непорозумінь, і, звичайно, робиться натяк на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нещасливе особисте життя. У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се це наводить на думку, що жінка і кар’єра – речі несумісні.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Сексизм і сексистська поведінка здійснюються на індивідуальному, інституційному та структурному рівнях. 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Як розпізнати сексизм?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Це недоречне згадування статі людини (наприклад, коли ми маємо справу з професійною діяльніст</w:t>
      </w:r>
      <w:r w:rsidR="00A678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ю), її сексуальності (наприклад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експлуатація чоло</w:t>
      </w:r>
      <w:r w:rsidR="00EF6D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вічої та жіночої сексуальності 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ЗМІ, рекламі), підтримання гендерних стереотипів у повсякденному житті.</w:t>
      </w:r>
    </w:p>
    <w:p w:rsidR="003329C6" w:rsidRPr="00164F69" w:rsidRDefault="001349D5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На які прояви дискримінації жінки й чоловіка можна очікувати на робочому місці?</w:t>
      </w:r>
      <w:r w:rsidR="00A871CF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 </w:t>
      </w:r>
    </w:p>
    <w:p w:rsidR="003329C6" w:rsidRPr="00164F69" w:rsidRDefault="00EF6D8A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«Л</w:t>
      </w:r>
      <w:r w:rsidR="00A871CF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ипка підлога»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 низькі заробітні плати, які залишають мало шансів піднятися вище.</w:t>
      </w:r>
    </w:p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«</w:t>
      </w:r>
      <w:r w:rsidR="00EF6D8A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С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кляна стеля»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– стосуються тих стереотипів, які начебто не створюють помітні бар’єри, проте і не дають можливості просуватися вперед.</w:t>
      </w:r>
    </w:p>
    <w:p w:rsidR="003329C6" w:rsidRPr="00164F69" w:rsidRDefault="00EF6D8A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«С</w:t>
      </w:r>
      <w:r w:rsidR="00A871CF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кляні стіни»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– горизонтальна гендерна сегрегація праці, коли жінки мають менший доступ до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професій та</w:t>
      </w:r>
      <w:r w:rsidR="001B476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видів діяльності, які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забезпечують надалі значне вертикальне кар’єрне зростання. «Скляні стіни» сприяють концентрації жінок у тих галузях, які є менш </w:t>
      </w:r>
      <w:r w:rsidR="00A678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прибутков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ими, надаю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ть менший доступ до фінансових та</w:t>
      </w:r>
      <w:r w:rsidR="00A6788A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економічних ресурсів</w:t>
      </w:r>
      <w:r w:rsidR="001B476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і тому забезпечують менший доступ до  владних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струк</w:t>
      </w:r>
      <w:r w:rsidR="001B476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тур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.</w:t>
      </w:r>
    </w:p>
    <w:p w:rsidR="003329C6" w:rsidRPr="00164F69" w:rsidRDefault="00EF6D8A" w:rsidP="00B754B9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«С</w:t>
      </w:r>
      <w:r w:rsidR="00A871CF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кляний підвал»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– </w:t>
      </w:r>
      <w:r w:rsidR="001B4766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умови, за яких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чоловіки виконують ризиковані та небезпечні роботи (стаття 43 Конституції України)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  <w:vertAlign w:val="superscript"/>
        </w:rPr>
        <w:footnoteReference w:id="3"/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метою виправлення ситуації дискримінації щодо значного кола осіб і запобігання її майбутнім проявам, застосовують позитивні дії. </w:t>
      </w:r>
    </w:p>
    <w:p w:rsidR="00A6788A" w:rsidRPr="00164F69" w:rsidRDefault="00A6788A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position w:val="0"/>
          <w:sz w:val="10"/>
          <w:szCs w:val="10"/>
        </w:rPr>
      </w:pPr>
    </w:p>
    <w:tbl>
      <w:tblPr>
        <w:tblStyle w:val="af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3329C6" w:rsidRPr="00164F69">
        <w:tc>
          <w:tcPr>
            <w:tcW w:w="9629" w:type="dxa"/>
          </w:tcPr>
          <w:p w:rsidR="003329C6" w:rsidRPr="00164F69" w:rsidRDefault="00A871CF" w:rsidP="00B7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firstLine="567"/>
              <w:rPr>
                <w:rFonts w:ascii="Times New Roman" w:eastAsia="Times New Roman" w:hAnsi="Times New Roman" w:cs="Times New Roman"/>
                <w:spacing w:val="-4"/>
                <w:position w:val="0"/>
                <w:sz w:val="28"/>
                <w:szCs w:val="28"/>
              </w:rPr>
            </w:pPr>
            <w:r w:rsidRPr="00164F69">
              <w:rPr>
                <w:rFonts w:ascii="Times New Roman" w:eastAsia="Times New Roman" w:hAnsi="Times New Roman" w:cs="Times New Roman"/>
                <w:b/>
                <w:spacing w:val="-4"/>
                <w:position w:val="0"/>
                <w:sz w:val="28"/>
                <w:szCs w:val="28"/>
              </w:rPr>
              <w:t>ПОЗИТИВНІ ДІЇ</w:t>
            </w:r>
            <w:r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8"/>
                <w:szCs w:val="28"/>
              </w:rPr>
              <w:t xml:space="preserve"> – спеціальні тимчасові заходи, що мають правомірну, об’єктивно обґрунтовану мету, спрямовану на усунення юридичної чи фактичної нерівності в можливостях для особи та/або групи осіб реалізовувати на рівних підставах права та свободи, надані їм Конституцією</w:t>
            </w:r>
            <w:r w:rsidR="00EF6D8A"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8"/>
                <w:szCs w:val="28"/>
              </w:rPr>
              <w:t xml:space="preserve"> та</w:t>
            </w:r>
            <w:r w:rsidRPr="00164F69">
              <w:rPr>
                <w:rFonts w:ascii="Times New Roman" w:eastAsia="Times New Roman" w:hAnsi="Times New Roman" w:cs="Times New Roman"/>
                <w:spacing w:val="-4"/>
                <w:position w:val="0"/>
                <w:sz w:val="28"/>
                <w:szCs w:val="28"/>
              </w:rPr>
              <w:t xml:space="preserve"> законами України.</w:t>
            </w:r>
          </w:p>
        </w:tc>
      </w:tr>
    </w:tbl>
    <w:p w:rsidR="003329C6" w:rsidRPr="00164F69" w:rsidRDefault="00A871CF" w:rsidP="00B7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lastRenderedPageBreak/>
        <w:t>Не вважаються дискримінацією за ознакою статі:</w:t>
      </w:r>
    </w:p>
    <w:p w:rsidR="003329C6" w:rsidRPr="00164F69" w:rsidRDefault="00A871CF" w:rsidP="00B754B9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спеціальний захист жінок під час вагітності, пологів і грудного вигодовування дитини;</w:t>
      </w:r>
    </w:p>
    <w:p w:rsidR="003329C6" w:rsidRPr="00164F69" w:rsidRDefault="00A871CF" w:rsidP="00B754B9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обов’язкова строкова військова служба для чоловіків, передбачена законом; </w:t>
      </w:r>
    </w:p>
    <w:p w:rsidR="003329C6" w:rsidRPr="00164F69" w:rsidRDefault="00A871CF" w:rsidP="00B754B9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особливі вимоги щодо охорони праці жінок і чоловіків, пов’язані з охороною їхнього репродуктивного здоров’я та інші. </w:t>
      </w:r>
    </w:p>
    <w:p w:rsidR="003329C6" w:rsidRPr="00164F69" w:rsidRDefault="003329C6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Гендерно зумовлене насильство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Гендерно зумовлене насильство є крайнім проявом гендерної дискримінації. </w:t>
      </w: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 xml:space="preserve">Гендерно зумовлене насильство –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це насильство, </w:t>
      </w:r>
      <w:r w:rsidR="001C6A72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яке 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чиниться над особою тому, що вона належить до тієї чи </w:t>
      </w:r>
      <w:r w:rsidR="001349D5"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іншо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>ї статі</w:t>
      </w:r>
      <w:r w:rsidRPr="00164F69">
        <w:rPr>
          <w:rFonts w:ascii="Times New Roman" w:eastAsia="Times New Roman" w:hAnsi="Times New Roman" w:cs="Times New Roman"/>
          <w:b/>
          <w:position w:val="0"/>
          <w:sz w:val="28"/>
          <w:szCs w:val="28"/>
        </w:rPr>
        <w:t>.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Гендерно зумовлене насильство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виникає як наслідок нерівних владних стосунків між жінками та чоловіками. Воно стосується (але не вичерпується) фізичної, сексуальної та психологічної шкоди включно із залякуванням, стражданнями, примусом і/чи позбавленням свободи в сім’ї або в суспільстві взагалі. Це також стосується насильства, котре чинить чи не зупиняє держава.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За визначенням Фонду народонаселення ООН, гендерне насильство стосується чоловіків і жінок, але жертвами його переважно 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стають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жінки.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У 2014 році Фонд народонаселення ООН опублікував результати дослідження стосовно поширеності насильства щодо дівчат та жінок в Україні, проведене шляхом опитування 1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606 жінок з репрезентативної вибірки в національному масштабі. Результати дослідження 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вияви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ли: </w:t>
      </w:r>
    </w:p>
    <w:p w:rsidR="003329C6" w:rsidRPr="00164F69" w:rsidRDefault="001C6A72" w:rsidP="00B754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21,6 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% жінок віком 15–49 років упродовж життя зазнавали фізичного, психологічного чи сексуального насильства з боку нинішнього або колишнього партнера; </w:t>
      </w:r>
    </w:p>
    <w:p w:rsidR="003329C6" w:rsidRPr="00164F69" w:rsidRDefault="001349D5" w:rsidP="00B754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7,9 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% жінок віком 15–49 років упродовж життя зазнавали сексуального насильства з боку партнера чи іншої особи; </w:t>
      </w:r>
    </w:p>
    <w:p w:rsidR="003329C6" w:rsidRPr="00164F69" w:rsidRDefault="00A871CF" w:rsidP="00B754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  <w:u w:val="single"/>
        </w:rPr>
        <w:t>кожна шоста жінка</w:t>
      </w:r>
      <w:r w:rsidRPr="00164F69">
        <w:rPr>
          <w:rFonts w:ascii="Times New Roman" w:eastAsia="Times New Roman" w:hAnsi="Times New Roman" w:cs="Times New Roman"/>
          <w:b/>
          <w:i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 Україні пережила принаймні одну з форм насильства з боку інтимного партнера протягом останніх 12 місяців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vertAlign w:val="superscript"/>
        </w:rPr>
        <w:footnoteReference w:id="4"/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. </w:t>
      </w:r>
    </w:p>
    <w:p w:rsidR="003329C6" w:rsidRPr="00164F69" w:rsidRDefault="00A871CF" w:rsidP="00112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Такі результати означають, що в країні щороку приблизно 1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850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000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жінок віком 15–49 років 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потерп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ають від фізичного, психологічного або сексуального насильства з боку партнера, а приблизно 880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000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жінок того 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самого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віку принаймні раз у житті зазнали сексуального насильства з боку інтимного партнера чи іншої особи.</w:t>
      </w:r>
    </w:p>
    <w:p w:rsidR="001C6A72" w:rsidRPr="00164F69" w:rsidRDefault="00D136A6" w:rsidP="00B75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7"/>
        <w:rPr>
          <w:rFonts w:ascii="Times New Roman" w:eastAsia="Times New Roman" w:hAnsi="Times New Roman" w:cs="Times New Roman"/>
          <w:b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Дані дослідження, проведеного у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2017 році Фондом народонаселення ООН, 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виявили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що економічні втрати українського суспільства внаслідок насильства щодо жінок сягають д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 208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000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доларів на рік. </w:t>
      </w:r>
      <w:r w:rsidR="00C45EA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При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ч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ому 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значна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частина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витрат, спричинених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насильством щодо жінок, лягає на плечі постраждалих і може сягати до 190</w:t>
      </w:r>
      <w:r w:rsidR="00755EFD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00</w:t>
      </w:r>
      <w:r w:rsidR="00C45EA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0 доларів на рік (більше ніж 90 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% сукупних економічних витрат суспільства).</w:t>
      </w:r>
    </w:p>
    <w:p w:rsidR="003329C6" w:rsidRPr="00164F69" w:rsidRDefault="00B754B9" w:rsidP="00B754B9">
      <w:pPr>
        <w:pStyle w:val="af8"/>
        <w:rPr>
          <w:color w:val="auto"/>
        </w:rPr>
      </w:pPr>
      <w:r w:rsidRPr="00164F69">
        <w:rPr>
          <w:color w:val="auto"/>
        </w:rPr>
        <w:br w:type="column"/>
      </w:r>
      <w:bookmarkStart w:id="13" w:name="_Toc37071301"/>
      <w:r w:rsidRPr="00164F69">
        <w:rPr>
          <w:color w:val="auto"/>
        </w:rPr>
        <w:lastRenderedPageBreak/>
        <w:t>ВИСНОВКИ</w:t>
      </w:r>
      <w:bookmarkEnd w:id="13"/>
    </w:p>
    <w:p w:rsidR="003329C6" w:rsidRPr="00164F69" w:rsidRDefault="00A871CF" w:rsidP="00B754B9">
      <w:pPr>
        <w:tabs>
          <w:tab w:val="left" w:pos="567"/>
          <w:tab w:val="left" w:pos="709"/>
        </w:tabs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Якщо стать є анатомо-біологічною відмінністю, </w:t>
      </w:r>
      <w:r w:rsidR="00C45EAC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на підставі якої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люд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визначають як чоловік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ів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або жін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ок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(біологічна стать дається людині з народження), то гендер – це соціальна стать, що формує поведінкові, культурні, психологічні, візуальні та інші соціально-культурно зумовлені відмінності між чоловіками та жінками, конструюється соціально та зумовл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ена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культурою суспільства в конкретний історичний період. </w:t>
      </w:r>
    </w:p>
    <w:p w:rsidR="003329C6" w:rsidRPr="00164F69" w:rsidRDefault="00A871CF" w:rsidP="00B754B9">
      <w:pPr>
        <w:tabs>
          <w:tab w:val="left" w:pos="567"/>
          <w:tab w:val="left" w:pos="990"/>
        </w:tabs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Термін «гендер» має багато дефініцій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що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зумовлено міждисциплінарним характером гендерних досліджень, але більшість 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 них </w:t>
      </w:r>
      <w:r w:rsidR="001C6A7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акцентує на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со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ці</w:t>
      </w:r>
      <w:r w:rsidR="001C6A7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альній природі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зазначе</w:t>
      </w:r>
      <w:r w:rsidR="001C6A7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ної 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категорії.</w:t>
      </w:r>
    </w:p>
    <w:p w:rsidR="003329C6" w:rsidRPr="00164F69" w:rsidRDefault="00A871CF" w:rsidP="00B754B9">
      <w:pPr>
        <w:tabs>
          <w:tab w:val="left" w:pos="990"/>
        </w:tabs>
        <w:spacing w:line="235" w:lineRule="auto"/>
        <w:ind w:firstLine="567"/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Гендерна рівність – рівний правовий статус жінок і чоловіків та рівні можливості для його реалізації, що д</w:t>
      </w:r>
      <w:r w:rsidR="007848F3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ає можливість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особам обох статей брати </w:t>
      </w:r>
      <w:r w:rsidR="001C6A72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однакову 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участь у всіх сферах життєдіяльності суспільства. Її досягнення спрямовано на забезпечення рівної участі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32"/>
          <w:szCs w:val="28"/>
        </w:rPr>
        <w:t xml:space="preserve"> </w:t>
      </w:r>
      <w:r w:rsidR="007848F3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в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процесах прийняття рішень і розподілі ресурсів незалежно від статі, співпр</w:t>
      </w:r>
      <w:r w:rsidR="0006444B"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>аці та партнерства між жінками та</w:t>
      </w:r>
      <w:r w:rsidRPr="00164F69">
        <w:rPr>
          <w:rFonts w:ascii="Times New Roman" w:eastAsia="Times New Roman" w:hAnsi="Times New Roman" w:cs="Times New Roman"/>
          <w:spacing w:val="-6"/>
          <w:position w:val="0"/>
          <w:sz w:val="28"/>
          <w:szCs w:val="28"/>
        </w:rPr>
        <w:t xml:space="preserve"> чоловіками.</w:t>
      </w:r>
    </w:p>
    <w:p w:rsidR="003329C6" w:rsidRPr="00164F69" w:rsidRDefault="001C6A72" w:rsidP="00B754B9">
      <w:pPr>
        <w:tabs>
          <w:tab w:val="left" w:pos="990"/>
        </w:tabs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Зазначають 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такі основні причини нерівності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як: 1) стереотипи, 2)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 </w:t>
      </w:r>
      <w:r w:rsidR="00A871CF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гендерні установки.</w:t>
      </w:r>
    </w:p>
    <w:p w:rsidR="003329C6" w:rsidRPr="00164F69" w:rsidRDefault="00A871CF" w:rsidP="00B754B9">
      <w:pPr>
        <w:tabs>
          <w:tab w:val="left" w:pos="990"/>
        </w:tabs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Очевидний активний розвиток гендерної термінології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, а отже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="001C6A7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є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важливою уніфікація підходів до її трактування. Так, процес оцінки впливу заходів, політик, законодавчих актів, прийнятих рішень на життя жінок та чоловік</w:t>
      </w:r>
      <w:r w:rsidR="001C6A7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ів назива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ють</w:t>
      </w:r>
      <w:r w:rsidR="001C6A72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гендерним мейстри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мінгом (гендерне інтегрування або </w:t>
      </w:r>
      <w:r w:rsidRPr="00164F69">
        <w:rPr>
          <w:rFonts w:ascii="Times New Roman" w:eastAsia="Times New Roman" w:hAnsi="Times New Roman" w:cs="Times New Roman"/>
          <w:spacing w:val="-2"/>
          <w:position w:val="0"/>
          <w:sz w:val="28"/>
          <w:szCs w:val="28"/>
        </w:rPr>
        <w:t>запровадження гендерних підходів). Водночас існують гендерні упередження –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це ірраціональне, негнучке ставлення до певної категорії людей. Можливі негативні та позитивні упередження.</w:t>
      </w:r>
    </w:p>
    <w:p w:rsidR="003329C6" w:rsidRPr="00164F69" w:rsidRDefault="00A871CF" w:rsidP="00B754B9">
      <w:pPr>
        <w:tabs>
          <w:tab w:val="left" w:pos="990"/>
        </w:tabs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Як паритетна демократія, так і гендерна рівність </w:t>
      </w:r>
      <w:r w:rsidR="0006444B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є загальновизнаними цінностями й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засадами будь-якого демократичного суспільства. «Гендерна демократія» – це система нормативно впорядкованих і передбачених політико-правовими принципами прав, свобод та обов’язків жінок і чоловіків, забезпечення можливості їх рівноправної реалізації та дотримання в усіх сферах життєдіяльності з урахуванням гендерних інтересів і потреб за допомогою відповідного правового механізму реалізації. Паритетна демократія ґрунтується на ширшому міждисциплінарному підході, а не лише визнач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ена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статевою ознакою.</w:t>
      </w:r>
    </w:p>
    <w:p w:rsidR="003329C6" w:rsidRPr="00164F69" w:rsidRDefault="00A871CF" w:rsidP="00B754B9">
      <w:pPr>
        <w:tabs>
          <w:tab w:val="left" w:pos="990"/>
        </w:tabs>
        <w:spacing w:line="235" w:lineRule="auto"/>
        <w:ind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Закони України «Про забезпечення рівних прав та можливостей жінок і чоловіків», «Про засади запобігання та протидії дискримінації в Україні» 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містять визначення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, що дискримінація за ознакою статі – 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це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дії чи бездіяльність, що виражають будь-яке розрізнення, виняток або привілеї за ознакою статі, якщо вони спрямовані на обмеження або унеможливлюють визнання, користування чи </w:t>
      </w:r>
      <w:r w:rsidR="007848F3"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реалізацію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 рівних підставах прав і свобод людини для жінок та чоловіків. </w:t>
      </w:r>
    </w:p>
    <w:p w:rsidR="003329C6" w:rsidRPr="00164F69" w:rsidRDefault="00A871CF" w:rsidP="00B754B9">
      <w:pPr>
        <w:tabs>
          <w:tab w:val="left" w:pos="990"/>
          <w:tab w:val="left" w:pos="3218"/>
        </w:tabs>
        <w:spacing w:line="235" w:lineRule="auto"/>
        <w:ind w:firstLine="567"/>
        <w:rPr>
          <w:rFonts w:ascii="Times New Roman" w:eastAsia="Times New Roman" w:hAnsi="Times New Roman" w:cs="Times New Roman"/>
          <w:b/>
          <w:spacing w:val="-4"/>
          <w:position w:val="0"/>
          <w:sz w:val="28"/>
          <w:szCs w:val="28"/>
        </w:rPr>
      </w:pPr>
      <w:bookmarkStart w:id="14" w:name="_heading=h.4d34og8" w:colFirst="0" w:colLast="0"/>
      <w:bookmarkEnd w:id="14"/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Їх різновидами є пряма і непряма дискримінація, сексизм, гендерно зумовлене насильство тощо. Важливим є</w:t>
      </w:r>
      <w:r w:rsidR="0006444B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точне розуміння, </w:t>
      </w:r>
      <w:r w:rsidR="00E13333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профілактика</w:t>
      </w:r>
      <w:r w:rsidR="0006444B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</w:t>
      </w:r>
      <w:r w:rsidR="00E13333"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й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подолання таких негативних соціальних явищ за спільної участі науковців, законотворців, працівників правоохоронних та інших органів, а також громадськості. </w:t>
      </w:r>
    </w:p>
    <w:p w:rsidR="003329C6" w:rsidRPr="00164F69" w:rsidRDefault="00B754B9" w:rsidP="00B754B9">
      <w:pPr>
        <w:pStyle w:val="af8"/>
        <w:rPr>
          <w:color w:val="auto"/>
        </w:rPr>
      </w:pPr>
      <w:bookmarkStart w:id="15" w:name="_Toc37071302"/>
      <w:r w:rsidRPr="00164F69">
        <w:rPr>
          <w:color w:val="auto"/>
        </w:rPr>
        <w:lastRenderedPageBreak/>
        <w:t>СПИСОК ВИКОРИСТАНИХ ДЖЕРЕЛ</w:t>
      </w:r>
      <w:bookmarkEnd w:id="15"/>
    </w:p>
    <w:p w:rsidR="00DF5099" w:rsidRPr="00164F69" w:rsidRDefault="00DF5099" w:rsidP="00802052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Андрусяк І. П. Ідея гендерної рівності в українській правовій думці другої половини ХІХ століття : дис. ... канд. юрид. наук : 12.00.01. Львів, 2017. 233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Бега М. І. Вплив гендерних стереотипів на чоловічі та жіночі ролі в сучасній сім’ї.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Вісник Київського національного університету імені Тараса Шевченка.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2008. Вип. 89. С. 6–9.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Венгер О. М. Становлення та особливості функціонування гендерної демократії в сучасному українському суспільстві : дис. … канд. політ. наук : 23.00.02. Запоріжжя, 2009. 198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Гендерна політика в системі державного управління : підручник / за заг. ред. М. М. Білинської. Запоріжжя : Друк. світ, 2011. 132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Гончарова Ю. А. Роль та місце принципу гендерної рівності в сучасному міжнародному праві : дис. ... канд. юрид. наук : 12.00.11. Київ, 2017. 200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Грабовська І. Джерельні підвалини дослідження паритетної (гендерної) демократії: український і світовий контекст.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Вісник Київського національного університету імені Тараса Шевченка.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2007. № 11. (Серія «Українознавство»). URL: http://papers.univ.kiev.ua/ukrainoznavstvo/articles/ Sources_grounds_of_the_investigation_Paritet_democracy_Gender_democracy_Ukrainian_add_World_context_12970.pd.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Донець А. А. Особливості формування гендерної ідентичності особистості у підлітковому віці.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Молодий вчений.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2014. № 7. С. 162–164. URL: http://molodyvcheny.in.ua/files/journal/2014/7/93.pdf.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Камінська Н. В., Пашко Д. В., Романова Н. В. Причини виникнення гендерної нерівності.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Юридична психологія.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2018. № 2 (23). С. 30‒47.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Камінська Н. В., Свєшнікова М. М. Правові та інституційні засади гендерної політики Європейського Союзу: досвід для України.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Защита прав человека :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материалы науч.-практ. конф. (Комрат, Молдова, 26 окт. 2017 г.). Комрат, 2018. С. 215–219.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Каткова Т. А., Ілляшенко О. М. Психологічні особливості гендерно-рольової поведінки чоловіків та жінок з різними типами ставлення до сім’ї.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Вісник Одеського національного університету імені І. І. Мечникова.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2016. Вип. 4 (42). С. 74–81. URL: http://psysocwork.onu.edu.ua/article/ viewFile/134720/131396.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>Конституція України : Закон України від 28 черв. 1996 р. № 254к/96-ВР.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URL: http://zakon.rada.gov.ua/laws/show/254к/96-вр.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Кормич А. І. Соціальне партнерство як модель співпраці держави і громадянського суспільства.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Наукові праці Одеського національного університету імені І. І. Мечникова.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2008. Т. VII. С. 252–257.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Кормич Л. І. Принципові засади паритетної демократії.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Актуальні проблеми політики.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2011. Вип. 42. С. 12–20.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Кравець В. П., Говорун Т. В., Кікінежді О. М. Гендерні дослідження: прикладні аспекти : монографія. Тернопіль : Навч. кн., 2013. 448 с.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lastRenderedPageBreak/>
        <w:t xml:space="preserve">Краснопольська Т. М. Гендерна рівність в політичній сфері як складова паритетної демократії.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Актуальні проблеми політики.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2012. Вип. 47. С. 223–232.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Краснопольська Т. Співвідношення понять «паритетна демократія» та «гендерна демократія».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Гілея.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2015. Вип. 98. С. 368–371.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Лазар І. Гендерна політика: поняття, визначення, управлінські підходи : слов.-довід. 2-ге вид., доповн. Львів : Ліга-Прес, 2006. 178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Малінін В. В. Механізми формування соціокультурної ідентичності в умовах паритетної демократії.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Актуальні проблеми політики.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2012. Вип. 47. С. 42–48.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Малкович М. М. Гендерна ідентифікація як механізм формування 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гендерних уявлень у дошкільному віці. </w:t>
      </w:r>
      <w:r w:rsidRPr="00164F69">
        <w:rPr>
          <w:rFonts w:ascii="Times New Roman" w:eastAsia="Times New Roman" w:hAnsi="Times New Roman" w:cs="Times New Roman"/>
          <w:i/>
          <w:spacing w:val="-4"/>
          <w:position w:val="0"/>
          <w:sz w:val="28"/>
          <w:szCs w:val="28"/>
        </w:rPr>
        <w:t>Наукові записки.</w:t>
      </w:r>
      <w:r w:rsidRPr="00164F69">
        <w:rPr>
          <w:rFonts w:ascii="Times New Roman" w:eastAsia="Times New Roman" w:hAnsi="Times New Roman" w:cs="Times New Roman"/>
          <w:spacing w:val="-4"/>
          <w:position w:val="0"/>
          <w:sz w:val="28"/>
          <w:szCs w:val="28"/>
        </w:rPr>
        <w:t xml:space="preserve"> 2013. Вип. 25. С. 92–95.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(Серія «Психологія і педагогіка»).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Мельник Т. М. Правові аспекти гендеру.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Основи теорії гендеру :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навч. посіб. Київ : К.І.С., 2004. Розд. 10. С. 281–325.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Мельник Т. М., Кобилянська Л. С. 50/50: Сучасне гендерне мислення : словник. Київ : К.І.С., 2005. 280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Про забезпечення рівних прав та можливостей жінок і чоловіків : Закон України від 8 верес. 2005 р. № 2866-IV. URL: https://zakon.rada.gov.ua/laws/show/2866-15.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Словник гендерних термінів присвячений основній термінології в галузі гендеру та фемінізму. URL: http://a-z-gender.net/ua/genderna-demokratiya. html.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Столярчук О. А. Психологія сучасної сім’ї : навч. посіб. Кременчук : Щербатих О. В., 2015. 136 с. URL: http://elibrary.kubg.edu.ua/id/eprint/ 19502/1/O_Stoliarchuk_ PSS_IL.pdf. 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Тлумачний термінологічний словник з конституційного права / за заг. ред. Л. Р. Наливайко. Київ : Хай-Тек Пресс, 2016. 628 с.</w:t>
      </w:r>
    </w:p>
    <w:p w:rsidR="00DF5099" w:rsidRPr="00164F69" w:rsidRDefault="00DF5099" w:rsidP="00B754B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Юник І. Г. Сучасні підходи щодо реалізації паритетної демократії в органах публічної влади зарубіжних країн.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 xml:space="preserve">Ефективність державного управління.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2013. Вип. 36. С. 166–173.</w:t>
      </w:r>
    </w:p>
    <w:p w:rsidR="00DF5099" w:rsidRPr="00164F69" w:rsidRDefault="00DF5099" w:rsidP="00DF509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Maslow A. H. A Theory of Human Motivation. </w:t>
      </w:r>
      <w:r w:rsidRPr="00164F69">
        <w:rPr>
          <w:rFonts w:ascii="Times New Roman" w:eastAsia="Times New Roman" w:hAnsi="Times New Roman" w:cs="Times New Roman"/>
          <w:i/>
          <w:position w:val="0"/>
          <w:sz w:val="28"/>
          <w:szCs w:val="28"/>
        </w:rPr>
        <w:t>Psychological Review.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lang w:val="en-US"/>
        </w:rPr>
        <w:t>No.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50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lang w:val="en-US"/>
        </w:rPr>
        <w:t>. P. 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370–396. URL: https://psychclassics.yorku.ca/Maslow/motivation.htm. </w:t>
      </w:r>
    </w:p>
    <w:p w:rsidR="00DF5099" w:rsidRPr="00164F69" w:rsidRDefault="00DF5099" w:rsidP="00DF5099">
      <w:pPr>
        <w:pStyle w:val="a4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>UNESCO, Measuring Gender Equality in Science and Engineering: the SAGA Toolkit, SAGA Working Paper 2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lang w:val="en-US"/>
        </w:rPr>
        <w:t>.</w:t>
      </w: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</w:rPr>
        <w:t xml:space="preserve"> Paris, 2017. URL: http://unesdoc.unesco.org/images/0025/002597/259766e.pdf. </w:t>
      </w:r>
    </w:p>
    <w:p w:rsidR="00DF5099" w:rsidRPr="00164F69" w:rsidRDefault="00DF5099" w:rsidP="00DD43D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567"/>
        <w:rPr>
          <w:rFonts w:ascii="Times New Roman" w:eastAsia="Times New Roman" w:hAnsi="Times New Roman" w:cs="Times New Roman"/>
          <w:position w:val="0"/>
          <w:sz w:val="28"/>
          <w:szCs w:val="28"/>
          <w:lang w:val="ru-RU"/>
        </w:rPr>
        <w:sectPr w:rsidR="00DF5099" w:rsidRPr="00164F69" w:rsidSect="00DD43DB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709" w:bottom="1134" w:left="1701" w:header="709" w:footer="709" w:gutter="0"/>
          <w:pgNumType w:start="3"/>
          <w:cols w:space="720"/>
          <w:titlePg/>
        </w:sect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43DB" w:rsidRPr="00164F69" w:rsidRDefault="00DD43DB" w:rsidP="00DD43D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F69">
        <w:rPr>
          <w:rFonts w:ascii="Times New Roman" w:hAnsi="Times New Roman" w:cs="Times New Roman"/>
          <w:i/>
          <w:sz w:val="28"/>
          <w:szCs w:val="28"/>
        </w:rPr>
        <w:t>Навчальне видання</w:t>
      </w: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EB74BB" w:rsidRDefault="00DD43DB" w:rsidP="00EB7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3DB" w:rsidRPr="00EB74BB" w:rsidRDefault="00DD43DB" w:rsidP="00EB7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4BB" w:rsidRPr="00EB74BB" w:rsidRDefault="00EB74BB" w:rsidP="00EB7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КАМІНСЬКА Наталія Василівна</w:t>
      </w:r>
    </w:p>
    <w:p w:rsidR="00EB74BB" w:rsidRPr="00EB74BB" w:rsidRDefault="00EB74BB" w:rsidP="00EB7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ЧЕРНЯВСЬКИЙ</w:t>
      </w:r>
      <w:r w:rsidRPr="00EB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Сергій Сергійович </w:t>
      </w:r>
    </w:p>
    <w:p w:rsidR="00EB74BB" w:rsidRPr="00EB74BB" w:rsidRDefault="00EB74BB" w:rsidP="00EB7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ПЕРУНОВА Ольга Сергіївна</w:t>
      </w: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0260C5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32"/>
          <w:szCs w:val="32"/>
          <w:lang w:eastAsia="uk-UA"/>
        </w:rPr>
      </w:pPr>
      <w:r w:rsidRPr="00164F69">
        <w:rPr>
          <w:rFonts w:ascii="Times New Roman" w:eastAsia="Times New Roman" w:hAnsi="Times New Roman" w:cs="Times New Roman"/>
          <w:position w:val="0"/>
          <w:sz w:val="32"/>
          <w:szCs w:val="32"/>
          <w:lang w:eastAsia="uk-UA"/>
        </w:rPr>
        <w:t xml:space="preserve">ЗАСАДИ РОЗУМІННЯ ГЕНДЕРУ </w:t>
      </w: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Times New Roman" w:eastAsia="Times New Roman" w:hAnsi="Times New Roman" w:cs="Times New Roman"/>
          <w:position w:val="0"/>
          <w:sz w:val="32"/>
          <w:szCs w:val="32"/>
          <w:lang w:eastAsia="uk-UA"/>
        </w:rPr>
      </w:pPr>
      <w:r w:rsidRPr="00164F69">
        <w:rPr>
          <w:rFonts w:ascii="Times New Roman" w:eastAsia="Times New Roman" w:hAnsi="Times New Roman" w:cs="Times New Roman"/>
          <w:position w:val="0"/>
          <w:sz w:val="32"/>
          <w:szCs w:val="32"/>
          <w:lang w:eastAsia="uk-UA"/>
        </w:rPr>
        <w:t>ТА ГЕНДЕРНОЇ РІВНОСТІ</w:t>
      </w: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firstLine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F69">
        <w:rPr>
          <w:rFonts w:ascii="Times New Roman" w:eastAsia="Times New Roman" w:hAnsi="Times New Roman" w:cs="Times New Roman"/>
          <w:position w:val="0"/>
          <w:sz w:val="28"/>
          <w:szCs w:val="28"/>
          <w:lang w:eastAsia="uk-UA"/>
        </w:rPr>
        <w:t>Лекція № 1</w:t>
      </w: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3DB" w:rsidRPr="00164F69" w:rsidRDefault="00DD43DB" w:rsidP="00DD43DB">
      <w:pPr>
        <w:spacing w:line="240" w:lineRule="auto"/>
        <w:rPr>
          <w:rFonts w:ascii="Times New Roman" w:hAnsi="Times New Roman" w:cs="Times New Roman"/>
        </w:rPr>
      </w:pPr>
    </w:p>
    <w:p w:rsidR="00DD43DB" w:rsidRPr="00164F69" w:rsidRDefault="00DD43DB" w:rsidP="00DD43DB">
      <w:pPr>
        <w:pBdr>
          <w:top w:val="single" w:sz="4" w:space="1" w:color="auto"/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69">
        <w:rPr>
          <w:rFonts w:ascii="Times New Roman" w:hAnsi="Times New Roman" w:cs="Times New Roman"/>
          <w:sz w:val="24"/>
          <w:szCs w:val="24"/>
        </w:rPr>
        <w:t xml:space="preserve">Свідоцтво про внесення суб’єкта видавничої справи до державного реєстру видавців, виготовників і розповсюджувачів видавничої продукції </w:t>
      </w:r>
      <w:r w:rsidRPr="00164F69">
        <w:rPr>
          <w:rFonts w:ascii="Times New Roman" w:hAnsi="Times New Roman" w:cs="Times New Roman"/>
          <w:sz w:val="24"/>
          <w:szCs w:val="24"/>
        </w:rPr>
        <w:br/>
        <w:t>Дк № 4155 від 13.09.2011.</w:t>
      </w:r>
    </w:p>
    <w:p w:rsidR="00DD43DB" w:rsidRPr="00564F35" w:rsidRDefault="00DD43DB" w:rsidP="00DD43DB">
      <w:pPr>
        <w:pBdr>
          <w:top w:val="single" w:sz="4" w:space="1" w:color="auto"/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64F35">
        <w:rPr>
          <w:rFonts w:ascii="Times New Roman" w:hAnsi="Times New Roman" w:cs="Times New Roman"/>
          <w:sz w:val="24"/>
          <w:szCs w:val="24"/>
          <w:highlight w:val="yellow"/>
        </w:rPr>
        <w:t>Підписано до друку 28.05.2019. Формат 60х84/16. Папір офсетний.</w:t>
      </w:r>
    </w:p>
    <w:p w:rsidR="00DD43DB" w:rsidRPr="00564F35" w:rsidRDefault="00DD43DB" w:rsidP="00DD43DB">
      <w:pPr>
        <w:pBdr>
          <w:top w:val="single" w:sz="4" w:space="1" w:color="auto"/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64F35">
        <w:rPr>
          <w:rFonts w:ascii="Times New Roman" w:hAnsi="Times New Roman" w:cs="Times New Roman"/>
          <w:sz w:val="24"/>
          <w:szCs w:val="24"/>
          <w:highlight w:val="yellow"/>
        </w:rPr>
        <w:t>Обл.-вид. арк. 14,75. Ум. друк. арк. 13,72.</w:t>
      </w:r>
    </w:p>
    <w:p w:rsidR="00DD43DB" w:rsidRPr="00164F69" w:rsidRDefault="00DD43DB" w:rsidP="00DD43DB">
      <w:pPr>
        <w:pBdr>
          <w:top w:val="single" w:sz="4" w:space="1" w:color="auto"/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F35">
        <w:rPr>
          <w:rFonts w:ascii="Times New Roman" w:hAnsi="Times New Roman" w:cs="Times New Roman"/>
          <w:sz w:val="24"/>
          <w:szCs w:val="24"/>
          <w:highlight w:val="yellow"/>
        </w:rPr>
        <w:t>Тираж 300 прим.</w:t>
      </w:r>
      <w:bookmarkStart w:id="16" w:name="_GoBack"/>
      <w:bookmarkEnd w:id="16"/>
      <w:r w:rsidRPr="00164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DB" w:rsidRPr="00164F69" w:rsidRDefault="00DD43DB" w:rsidP="00DD43D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567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sectPr w:rsidR="00DD43DB" w:rsidRPr="00164F69" w:rsidSect="00576A55">
      <w:footerReference w:type="default" r:id="rId14"/>
      <w:pgSz w:w="11907" w:h="16840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BB" w:rsidRDefault="009564BB">
      <w:pPr>
        <w:spacing w:line="240" w:lineRule="auto"/>
        <w:ind w:hanging="2"/>
      </w:pPr>
      <w:r>
        <w:separator/>
      </w:r>
    </w:p>
  </w:endnote>
  <w:endnote w:type="continuationSeparator" w:id="0">
    <w:p w:rsidR="009564BB" w:rsidRDefault="009564BB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Text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DB" w:rsidRDefault="00DD43DB" w:rsidP="00DD43DB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DB" w:rsidRDefault="00DD43DB" w:rsidP="00DD43DB">
    <w:pPr>
      <w:pStyle w:val="af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31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43DB" w:rsidRPr="00DD43DB" w:rsidRDefault="007C3B47" w:rsidP="00DD43D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4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43DB" w:rsidRPr="00DD43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F35" w:rsidRPr="00564F3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18</w:t>
        </w:r>
        <w:r w:rsidRPr="00DD4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6062"/>
      <w:docPartObj>
        <w:docPartGallery w:val="Page Numbers (Bottom of Page)"/>
        <w:docPartUnique/>
      </w:docPartObj>
    </w:sdtPr>
    <w:sdtEndPr/>
    <w:sdtContent>
      <w:p w:rsidR="00DD43DB" w:rsidRDefault="007C3B47" w:rsidP="00DD43DB">
        <w:pPr>
          <w:pStyle w:val="af"/>
          <w:jc w:val="center"/>
        </w:pPr>
        <w:r w:rsidRPr="00DD4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43DB" w:rsidRPr="00DD43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F35" w:rsidRPr="00564F3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DD43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05" w:rsidRPr="00DD43DB" w:rsidRDefault="009564BB" w:rsidP="00DD43DB">
    <w:pPr>
      <w:pStyle w:val="af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BB" w:rsidRDefault="009564BB">
      <w:pPr>
        <w:spacing w:line="240" w:lineRule="auto"/>
        <w:ind w:hanging="2"/>
      </w:pPr>
      <w:r>
        <w:separator/>
      </w:r>
    </w:p>
  </w:footnote>
  <w:footnote w:type="continuationSeparator" w:id="0">
    <w:p w:rsidR="009564BB" w:rsidRDefault="009564BB">
      <w:pPr>
        <w:spacing w:line="240" w:lineRule="auto"/>
        <w:ind w:hanging="2"/>
      </w:pPr>
      <w:r>
        <w:continuationSeparator/>
      </w:r>
    </w:p>
  </w:footnote>
  <w:footnote w:id="1">
    <w:p w:rsidR="003329C6" w:rsidRPr="00EA7CAB" w:rsidRDefault="00A871CF" w:rsidP="00EA7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</w:pPr>
      <w:r w:rsidRPr="00EA7CAB">
        <w:rPr>
          <w:rFonts w:ascii="Times New Roman" w:hAnsi="Times New Roman" w:cs="Times New Roman"/>
          <w:spacing w:val="-4"/>
          <w:position w:val="0"/>
          <w:sz w:val="24"/>
          <w:szCs w:val="24"/>
          <w:vertAlign w:val="superscript"/>
        </w:rPr>
        <w:footnoteRef/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 За результатами </w:t>
      </w:r>
      <w:hyperlink r:id="rId1">
        <w:r w:rsidRPr="00EA7CAB">
          <w:rPr>
            <w:rFonts w:ascii="Times New Roman" w:eastAsia="Times New Roman" w:hAnsi="Times New Roman" w:cs="Times New Roman"/>
            <w:color w:val="000000"/>
            <w:spacing w:val="-4"/>
            <w:position w:val="0"/>
            <w:sz w:val="24"/>
            <w:szCs w:val="24"/>
          </w:rPr>
          <w:t>дослідження, проведено</w:t>
        </w:r>
        <w:r w:rsidR="009F2B58" w:rsidRPr="00EA7CAB">
          <w:rPr>
            <w:rFonts w:ascii="Times New Roman" w:eastAsia="Times New Roman" w:hAnsi="Times New Roman" w:cs="Times New Roman"/>
            <w:color w:val="000000"/>
            <w:spacing w:val="-4"/>
            <w:position w:val="0"/>
            <w:sz w:val="24"/>
            <w:szCs w:val="24"/>
          </w:rPr>
          <w:t>го</w:t>
        </w:r>
        <w:r w:rsidRPr="00EA7CAB">
          <w:rPr>
            <w:rFonts w:ascii="Times New Roman" w:eastAsia="Times New Roman" w:hAnsi="Times New Roman" w:cs="Times New Roman"/>
            <w:color w:val="000000"/>
            <w:spacing w:val="-4"/>
            <w:position w:val="0"/>
            <w:sz w:val="24"/>
            <w:szCs w:val="24"/>
          </w:rPr>
          <w:t xml:space="preserve"> у США компанією </w:t>
        </w:r>
      </w:hyperlink>
      <w:hyperlink r:id="rId2">
        <w:r w:rsidRPr="00EA7CAB">
          <w:rPr>
            <w:rFonts w:ascii="Times New Roman" w:eastAsia="Times New Roman" w:hAnsi="Times New Roman" w:cs="Times New Roman"/>
            <w:spacing w:val="-4"/>
            <w:position w:val="0"/>
            <w:sz w:val="24"/>
            <w:szCs w:val="24"/>
          </w:rPr>
          <w:t>Smith</w:t>
        </w:r>
        <w:r w:rsidR="00EA7CAB" w:rsidRPr="00EA7CAB">
          <w:rPr>
            <w:rFonts w:ascii="Times New Roman" w:eastAsia="Times New Roman" w:hAnsi="Times New Roman" w:cs="Times New Roman"/>
            <w:spacing w:val="-4"/>
            <w:position w:val="0"/>
            <w:sz w:val="24"/>
            <w:szCs w:val="24"/>
          </w:rPr>
          <w:t>ʼ</w:t>
        </w:r>
        <w:r w:rsidRPr="00EA7CAB">
          <w:rPr>
            <w:rFonts w:ascii="Times New Roman" w:eastAsia="Times New Roman" w:hAnsi="Times New Roman" w:cs="Times New Roman"/>
            <w:spacing w:val="-4"/>
            <w:position w:val="0"/>
            <w:sz w:val="24"/>
            <w:szCs w:val="24"/>
          </w:rPr>
          <w:t>s Lawyers</w:t>
        </w:r>
      </w:hyperlink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, чоловіки частіше від</w:t>
      </w:r>
      <w:r w:rsidR="009F2B58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волікаються за кермом: 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порівнян</w:t>
      </w:r>
      <w:r w:rsidR="009F2B58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о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 з жінками</w:t>
      </w:r>
      <w:r w:rsidR="009F2B58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,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 на 260</w:t>
      </w:r>
      <w:r w:rsidR="004A0FA5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 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% частіше ві</w:t>
      </w:r>
      <w:r w:rsidR="004A0FA5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дволікаються на пішоходів, на 70 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% частіше дивляться відео за кермом. За статистикою деяких страхових компаній</w:t>
      </w:r>
      <w:r w:rsidR="009F2B58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,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 чоловіки до 5 ра</w:t>
      </w:r>
      <w:r w:rsidR="009F2B58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зів частіше стають винуватцями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 вчиненн</w:t>
      </w:r>
      <w:r w:rsidR="009F2B58"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>я</w:t>
      </w:r>
      <w:r w:rsidRPr="00EA7CAB">
        <w:rPr>
          <w:rFonts w:ascii="Times New Roman" w:eastAsia="Times New Roman" w:hAnsi="Times New Roman" w:cs="Times New Roman"/>
          <w:color w:val="000000"/>
          <w:spacing w:val="-4"/>
          <w:position w:val="0"/>
          <w:sz w:val="24"/>
          <w:szCs w:val="24"/>
        </w:rPr>
        <w:t xml:space="preserve"> аварій.</w:t>
      </w:r>
    </w:p>
  </w:footnote>
  <w:footnote w:id="2">
    <w:p w:rsidR="003329C6" w:rsidRPr="00EA7CAB" w:rsidRDefault="00A871CF" w:rsidP="00EA7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EA7CA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footnoteRef/>
      </w:r>
      <w:r w:rsidR="00EA7CAB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STEM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(Science, Technology, Engineering and Mathematics) — наука, технології, інженерія, математика. А</w:t>
      </w:r>
      <w:r w:rsidR="00B43FE6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кронім STEM був запропонований у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 2001 році для позначення революційного тренду в освітній та професійній сферах</w:t>
      </w:r>
      <w:r w:rsidR="00E1489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 </w:t>
      </w:r>
      <w:r w:rsidR="00E1489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вченими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  <w:hyperlink r:id="rId3">
        <w:r w:rsidRPr="00EA7CAB">
          <w:rPr>
            <w:rFonts w:ascii="Times New Roman" w:eastAsia="Times New Roman" w:hAnsi="Times New Roman" w:cs="Times New Roman"/>
            <w:color w:val="000000"/>
            <w:position w:val="0"/>
            <w:sz w:val="24"/>
            <w:szCs w:val="24"/>
          </w:rPr>
          <w:t>Національного наукового фонду США</w:t>
        </w:r>
      </w:hyperlink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. 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STEM-підхід є необхідною складовою 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для задоволення </w:t>
      </w:r>
      <w:r w:rsidR="009F2B5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усе більш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их потреб суспільства практично в усіх сферах. Наприклад, цей підхід застосову</w:t>
      </w:r>
      <w:r w:rsidR="009F2B5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ють у 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медицині, агропромисловому комплексі, енергетиці, робототехніці, ІТ, транспорті, промисл</w:t>
      </w:r>
      <w:r w:rsidR="00B43FE6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овому та цивільному будівництві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 тощо. За даними досліджень, залучення 1</w:t>
      </w:r>
      <w:r w:rsidR="00E1489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 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% населення до STEM-професій, </w:t>
      </w:r>
      <w:r w:rsidR="00E1489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дозволяє 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економіці держави</w:t>
      </w:r>
      <w:r w:rsidR="00E1489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 збільшити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 </w:t>
      </w:r>
      <w:r w:rsidR="00E14898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 xml:space="preserve">зростання 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highlight w:val="white"/>
        </w:rPr>
        <w:t>ВВП на 50 млрд доларів США.</w:t>
      </w:r>
    </w:p>
  </w:footnote>
  <w:footnote w:id="3">
    <w:p w:rsidR="003329C6" w:rsidRPr="00EA7CAB" w:rsidRDefault="00A871CF" w:rsidP="00EA7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EA7CA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footnoteRef/>
      </w:r>
      <w:r w:rsidR="001349D5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Понад 90 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% усіх смерт</w:t>
      </w:r>
      <w:r w:rsidR="00755EFD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ель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них випадків, пов’язаних із професійною діяль</w:t>
      </w:r>
      <w:r w:rsidR="00755EFD"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ністю, трапляються з чоловіками</w:t>
      </w:r>
    </w:p>
  </w:footnote>
  <w:footnote w:id="4">
    <w:p w:rsidR="003329C6" w:rsidRPr="00EA7CAB" w:rsidRDefault="00A871CF" w:rsidP="00EA7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EA7CAB">
        <w:rPr>
          <w:rFonts w:ascii="Times New Roman" w:hAnsi="Times New Roman" w:cs="Times New Roman"/>
          <w:position w:val="0"/>
          <w:sz w:val="24"/>
          <w:szCs w:val="24"/>
          <w:vertAlign w:val="superscript"/>
        </w:rPr>
        <w:footnoteRef/>
      </w:r>
      <w:r w:rsidR="00483F79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  <w:r w:rsidRPr="00EA7CAB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Поширеність насильства щодо дівчат та жінок//Сайт Фонду народонаселення в Україні. URL:http://www.unfpa.org.ua/publications/470.html.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C6" w:rsidRDefault="003329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1CD"/>
    <w:multiLevelType w:val="multilevel"/>
    <w:tmpl w:val="36A4C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6D0552"/>
    <w:multiLevelType w:val="multilevel"/>
    <w:tmpl w:val="3392B3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C5919B4"/>
    <w:multiLevelType w:val="hybridMultilevel"/>
    <w:tmpl w:val="90EC58A2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5EA943A9"/>
    <w:multiLevelType w:val="hybridMultilevel"/>
    <w:tmpl w:val="09DC9184"/>
    <w:lvl w:ilvl="0" w:tplc="DA5A3A44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634C18C1"/>
    <w:multiLevelType w:val="multilevel"/>
    <w:tmpl w:val="9C9229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E70096D"/>
    <w:multiLevelType w:val="hybridMultilevel"/>
    <w:tmpl w:val="AE72F6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3497534"/>
    <w:multiLevelType w:val="multilevel"/>
    <w:tmpl w:val="47808BD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6B676E6"/>
    <w:multiLevelType w:val="multilevel"/>
    <w:tmpl w:val="5C5E1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83971B0"/>
    <w:multiLevelType w:val="hybridMultilevel"/>
    <w:tmpl w:val="6A827EAC"/>
    <w:lvl w:ilvl="0" w:tplc="E90027CE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7C9C41BF"/>
    <w:multiLevelType w:val="multilevel"/>
    <w:tmpl w:val="FCE8E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C6"/>
    <w:rsid w:val="00001153"/>
    <w:rsid w:val="00020E1E"/>
    <w:rsid w:val="000260C5"/>
    <w:rsid w:val="000343D3"/>
    <w:rsid w:val="0006444B"/>
    <w:rsid w:val="00071A54"/>
    <w:rsid w:val="00083A59"/>
    <w:rsid w:val="000A5E43"/>
    <w:rsid w:val="000E4912"/>
    <w:rsid w:val="000E56B3"/>
    <w:rsid w:val="001004DE"/>
    <w:rsid w:val="00112E93"/>
    <w:rsid w:val="00122CA4"/>
    <w:rsid w:val="001349D5"/>
    <w:rsid w:val="001445A9"/>
    <w:rsid w:val="00150D19"/>
    <w:rsid w:val="00164F69"/>
    <w:rsid w:val="001A3742"/>
    <w:rsid w:val="001B4766"/>
    <w:rsid w:val="001C6A72"/>
    <w:rsid w:val="001D230A"/>
    <w:rsid w:val="0020605F"/>
    <w:rsid w:val="00214820"/>
    <w:rsid w:val="0022126C"/>
    <w:rsid w:val="0023099E"/>
    <w:rsid w:val="00270CF2"/>
    <w:rsid w:val="002937C6"/>
    <w:rsid w:val="002B35E0"/>
    <w:rsid w:val="002C36CC"/>
    <w:rsid w:val="002C614B"/>
    <w:rsid w:val="002D544E"/>
    <w:rsid w:val="00315040"/>
    <w:rsid w:val="00321EB0"/>
    <w:rsid w:val="003329C6"/>
    <w:rsid w:val="00334B9D"/>
    <w:rsid w:val="00361B12"/>
    <w:rsid w:val="00382440"/>
    <w:rsid w:val="003842B5"/>
    <w:rsid w:val="00391745"/>
    <w:rsid w:val="003B07F8"/>
    <w:rsid w:val="003C3089"/>
    <w:rsid w:val="0042451A"/>
    <w:rsid w:val="0042525F"/>
    <w:rsid w:val="00426081"/>
    <w:rsid w:val="00483F79"/>
    <w:rsid w:val="004A0FA5"/>
    <w:rsid w:val="004D0C6C"/>
    <w:rsid w:val="004D1AD2"/>
    <w:rsid w:val="00541981"/>
    <w:rsid w:val="00564F35"/>
    <w:rsid w:val="00583E29"/>
    <w:rsid w:val="00585C3A"/>
    <w:rsid w:val="005B3401"/>
    <w:rsid w:val="005C3374"/>
    <w:rsid w:val="005D0C68"/>
    <w:rsid w:val="00656392"/>
    <w:rsid w:val="006B2BB4"/>
    <w:rsid w:val="006B5E39"/>
    <w:rsid w:val="006D0A59"/>
    <w:rsid w:val="006E77CB"/>
    <w:rsid w:val="007051C1"/>
    <w:rsid w:val="00716684"/>
    <w:rsid w:val="007340D0"/>
    <w:rsid w:val="00755249"/>
    <w:rsid w:val="00755EFD"/>
    <w:rsid w:val="007560E8"/>
    <w:rsid w:val="007848F3"/>
    <w:rsid w:val="007914F1"/>
    <w:rsid w:val="007B3F33"/>
    <w:rsid w:val="007C3B47"/>
    <w:rsid w:val="007D42CE"/>
    <w:rsid w:val="007D77BE"/>
    <w:rsid w:val="007F26FF"/>
    <w:rsid w:val="0080124F"/>
    <w:rsid w:val="00802052"/>
    <w:rsid w:val="00833E8E"/>
    <w:rsid w:val="00846602"/>
    <w:rsid w:val="0086156C"/>
    <w:rsid w:val="0088564E"/>
    <w:rsid w:val="008B0C3A"/>
    <w:rsid w:val="008B28F2"/>
    <w:rsid w:val="00906928"/>
    <w:rsid w:val="00952B51"/>
    <w:rsid w:val="009564BB"/>
    <w:rsid w:val="009930A1"/>
    <w:rsid w:val="00993F30"/>
    <w:rsid w:val="009C1C3F"/>
    <w:rsid w:val="009C7F62"/>
    <w:rsid w:val="009F2B58"/>
    <w:rsid w:val="00A5420C"/>
    <w:rsid w:val="00A54EE4"/>
    <w:rsid w:val="00A6788A"/>
    <w:rsid w:val="00A86576"/>
    <w:rsid w:val="00A871CF"/>
    <w:rsid w:val="00A87F06"/>
    <w:rsid w:val="00AE0BFE"/>
    <w:rsid w:val="00B044DC"/>
    <w:rsid w:val="00B22E54"/>
    <w:rsid w:val="00B43FE6"/>
    <w:rsid w:val="00B66188"/>
    <w:rsid w:val="00B71645"/>
    <w:rsid w:val="00B754B9"/>
    <w:rsid w:val="00BF0440"/>
    <w:rsid w:val="00C04D5F"/>
    <w:rsid w:val="00C06C42"/>
    <w:rsid w:val="00C34BDC"/>
    <w:rsid w:val="00C45EAC"/>
    <w:rsid w:val="00C557B5"/>
    <w:rsid w:val="00C666C0"/>
    <w:rsid w:val="00D022D7"/>
    <w:rsid w:val="00D136A6"/>
    <w:rsid w:val="00D22DF4"/>
    <w:rsid w:val="00D26066"/>
    <w:rsid w:val="00D457A8"/>
    <w:rsid w:val="00D53EA6"/>
    <w:rsid w:val="00D55019"/>
    <w:rsid w:val="00DA7A29"/>
    <w:rsid w:val="00DD43DB"/>
    <w:rsid w:val="00DD5325"/>
    <w:rsid w:val="00DF5099"/>
    <w:rsid w:val="00E13234"/>
    <w:rsid w:val="00E13333"/>
    <w:rsid w:val="00E14898"/>
    <w:rsid w:val="00E76DC8"/>
    <w:rsid w:val="00EA4C5B"/>
    <w:rsid w:val="00EA7CAB"/>
    <w:rsid w:val="00EB74BB"/>
    <w:rsid w:val="00EE712B"/>
    <w:rsid w:val="00EF6D8A"/>
    <w:rsid w:val="00F079D9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0F4FA-401D-4CAF-85FC-263482A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1AD2"/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4D1A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1A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1A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1A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1A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D1A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1A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1A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D1AD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F DinText Pro" w:eastAsia="Cambria" w:hAnsi="PF DinText Pro" w:cs="PF DinText Pro"/>
      <w:color w:val="000000"/>
      <w:position w:val="-1"/>
      <w:sz w:val="24"/>
      <w:szCs w:val="24"/>
      <w:lang w:eastAsia="en-US"/>
    </w:rPr>
  </w:style>
  <w:style w:type="paragraph" w:styleId="a4">
    <w:name w:val="List Paragraph"/>
    <w:basedOn w:val="a"/>
    <w:rsid w:val="004D1AD2"/>
    <w:pPr>
      <w:spacing w:after="160" w:line="259" w:lineRule="auto"/>
      <w:ind w:left="720"/>
      <w:contextualSpacing/>
    </w:pPr>
    <w:rPr>
      <w:rFonts w:ascii="Cambria" w:eastAsia="Cambria" w:hAnsi="Cambria"/>
    </w:rPr>
  </w:style>
  <w:style w:type="character" w:customStyle="1" w:styleId="A40">
    <w:name w:val="A4"/>
    <w:rsid w:val="004D1AD2"/>
    <w:rPr>
      <w:color w:val="211D1E"/>
      <w:w w:val="100"/>
      <w:position w:val="-1"/>
      <w:sz w:val="20"/>
      <w:effect w:val="none"/>
      <w:vertAlign w:val="baseline"/>
      <w:cs w:val="0"/>
      <w:em w:val="none"/>
    </w:rPr>
  </w:style>
  <w:style w:type="paragraph" w:styleId="a5">
    <w:name w:val="Normal (Web)"/>
    <w:basedOn w:val="a"/>
    <w:rsid w:val="004D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footnote text"/>
    <w:basedOn w:val="a"/>
    <w:rsid w:val="004D1AD2"/>
    <w:pPr>
      <w:spacing w:line="240" w:lineRule="auto"/>
    </w:pPr>
    <w:rPr>
      <w:rFonts w:ascii="Cambria" w:eastAsia="Cambria" w:hAnsi="Cambria"/>
      <w:sz w:val="20"/>
      <w:szCs w:val="20"/>
    </w:rPr>
  </w:style>
  <w:style w:type="character" w:customStyle="1" w:styleId="a7">
    <w:name w:val="Текст сноски Знак"/>
    <w:rsid w:val="004D1AD2"/>
    <w:rPr>
      <w:rFonts w:ascii="Cambria" w:eastAsia="Cambria" w:hAnsi="Cambria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character" w:styleId="a8">
    <w:name w:val="footnote reference"/>
    <w:rsid w:val="004D1AD2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uiPriority w:val="99"/>
    <w:rsid w:val="004D1AD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ody Text"/>
    <w:basedOn w:val="a"/>
    <w:rsid w:val="004D1AD2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rsid w:val="004D1AD2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customStyle="1" w:styleId="ac">
    <w:name w:val="Текстовый блок"/>
    <w:rsid w:val="004D1A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lang w:val="ru-RU" w:eastAsia="ru-RU"/>
    </w:rPr>
  </w:style>
  <w:style w:type="paragraph" w:styleId="ad">
    <w:name w:val="header"/>
    <w:basedOn w:val="a"/>
    <w:qFormat/>
    <w:rsid w:val="004D1A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4D1AD2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af">
    <w:name w:val="footer"/>
    <w:basedOn w:val="a"/>
    <w:uiPriority w:val="99"/>
    <w:qFormat/>
    <w:rsid w:val="004D1A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4D1AD2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af1">
    <w:name w:val="Subtitle"/>
    <w:basedOn w:val="a"/>
    <w:next w:val="a"/>
    <w:rsid w:val="004D1A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4D1A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D1A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D1A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D1A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D1A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D1A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ВСТУП"/>
    <w:basedOn w:val="a"/>
    <w:link w:val="af9"/>
    <w:qFormat/>
    <w:rsid w:val="00112E93"/>
    <w:pPr>
      <w:keepNext/>
      <w:keepLines/>
      <w:pBdr>
        <w:top w:val="nil"/>
        <w:left w:val="nil"/>
        <w:bottom w:val="nil"/>
        <w:right w:val="nil"/>
        <w:between w:val="nil"/>
      </w:pBdr>
      <w:spacing w:after="240" w:line="240" w:lineRule="auto"/>
      <w:ind w:right="425"/>
      <w:jc w:val="center"/>
    </w:pPr>
    <w:rPr>
      <w:rFonts w:ascii="Times New Roman" w:eastAsia="Arial" w:hAnsi="Times New Roman" w:cs="Times New Roman"/>
      <w:b/>
      <w:color w:val="000000"/>
      <w:position w:val="0"/>
      <w:sz w:val="28"/>
      <w:szCs w:val="28"/>
      <w:lang w:eastAsia="uk-UA"/>
    </w:rPr>
  </w:style>
  <w:style w:type="character" w:customStyle="1" w:styleId="af9">
    <w:name w:val="ВСТУП Знак"/>
    <w:basedOn w:val="a0"/>
    <w:link w:val="af8"/>
    <w:rsid w:val="00112E93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a">
    <w:name w:val="ПУНКТ"/>
    <w:basedOn w:val="a"/>
    <w:link w:val="afb"/>
    <w:qFormat/>
    <w:rsid w:val="00EA7CAB"/>
    <w:pPr>
      <w:keepNext/>
      <w:keepLines/>
      <w:pBdr>
        <w:top w:val="nil"/>
        <w:left w:val="nil"/>
        <w:bottom w:val="nil"/>
        <w:right w:val="nil"/>
        <w:between w:val="nil"/>
      </w:pBdr>
      <w:spacing w:after="240" w:line="240" w:lineRule="auto"/>
      <w:ind w:firstLine="567"/>
    </w:pPr>
    <w:rPr>
      <w:rFonts w:ascii="Times New Roman" w:eastAsia="Times New Roman" w:hAnsi="Times New Roman" w:cs="Times New Roman"/>
      <w:b/>
      <w:color w:val="000000"/>
      <w:position w:val="0"/>
      <w:sz w:val="28"/>
      <w:szCs w:val="28"/>
      <w:lang w:eastAsia="uk-UA"/>
    </w:rPr>
  </w:style>
  <w:style w:type="character" w:customStyle="1" w:styleId="afb">
    <w:name w:val="ПУНКТ Знак"/>
    <w:basedOn w:val="a0"/>
    <w:link w:val="afa"/>
    <w:rsid w:val="00EA7CA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83F79"/>
    <w:pPr>
      <w:tabs>
        <w:tab w:val="right" w:leader="dot" w:pos="9486"/>
      </w:tabs>
      <w:spacing w:after="240" w:line="240" w:lineRule="auto"/>
    </w:pPr>
  </w:style>
  <w:style w:type="paragraph" w:styleId="20">
    <w:name w:val="toc 2"/>
    <w:basedOn w:val="a"/>
    <w:next w:val="a"/>
    <w:autoRedefine/>
    <w:uiPriority w:val="39"/>
    <w:unhideWhenUsed/>
    <w:rsid w:val="00483F79"/>
    <w:pPr>
      <w:tabs>
        <w:tab w:val="right" w:leader="dot" w:pos="9486"/>
      </w:tabs>
      <w:spacing w:after="240" w:line="240" w:lineRule="auto"/>
      <w:jc w:val="left"/>
    </w:pPr>
  </w:style>
  <w:style w:type="character" w:styleId="afc">
    <w:name w:val="FollowedHyperlink"/>
    <w:basedOn w:val="a0"/>
    <w:uiPriority w:val="99"/>
    <w:semiHidden/>
    <w:unhideWhenUsed/>
    <w:rsid w:val="000E4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k.wikipedia.org/wiki/%D0%9D%D0%B0%D1%86%D1%96%D0%BE%D0%BD%D0%B0%D0%BB%D1%8C%D0%BD%D0%B8%D0%B9_%D0%BD%D0%B0%D1%83%D0%BA%D0%BE%D0%B2%D0%B8%D0%B9_%D1%84%D0%BE%D0%BD%D0%B4" TargetMode="External"/><Relationship Id="rId2" Type="http://schemas.openxmlformats.org/officeDocument/2006/relationships/hyperlink" Target="https://www.smithslawyers.com.au/post/usa-distracted-driving-survey" TargetMode="External"/><Relationship Id="rId1" Type="http://schemas.openxmlformats.org/officeDocument/2006/relationships/hyperlink" Target="https://www.smithslawyers.com.au/post/usa-distracted-driving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s2tyN9r4h8XyvEkitshQSADXg==">AMUW2mV6h8eSdvBvP3kLqkZ/GTn0U86iATCv/LXOt+alE99dlClIbRFfJ5zFLBMXeb0aOSfZI9h55rt2ozdQ/g4CDdudF5LT8WhJZVLwArBk7MwsA9V2TaSM5hAfLiuvdSt/qXpx8idH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06D760-079E-4EE4-8FF3-229519D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6184</Words>
  <Characters>35249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OLGA</cp:lastModifiedBy>
  <cp:revision>23</cp:revision>
  <dcterms:created xsi:type="dcterms:W3CDTF">2020-04-07T04:53:00Z</dcterms:created>
  <dcterms:modified xsi:type="dcterms:W3CDTF">2020-04-28T06:03:00Z</dcterms:modified>
</cp:coreProperties>
</file>